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hanging="5684"/>
        <w:rPr/>
      </w:pPr>
      <w:r>
        <w:rPr/>
        <w:t xml:space="preserve">                                                                          </w:t>
      </w:r>
      <w:r>
        <w:rPr/>
        <w:drawing>
          <wp:inline distT="0" distB="0" distL="0" distR="0">
            <wp:extent cx="1181735" cy="101981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9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Российская Федерация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Самарская область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ConsPlusTitle"/>
        <w:widowControl/>
        <w:numPr>
          <w:ilvl w:val="0"/>
          <w:numId w:val="0"/>
        </w:numPr>
        <w:spacing w:lineRule="auto" w:line="240"/>
        <w:jc w:val="center"/>
        <w:outlineLvl w:val="0"/>
        <w:rPr>
          <w:rFonts w:ascii="Times New Roman" w:hAnsi="Times New Roman" w:cs="Times New Roman"/>
          <w:b w:val="false"/>
          <w:b w:val="false"/>
          <w:bCs w:val="false"/>
        </w:rPr>
      </w:pP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АДМИНИСТРАЦИЯ СЕЛЬСКОГО ПОСЕЛЕНИЯ ПРИМОРСКИЙ</w:t>
      </w:r>
    </w:p>
    <w:p>
      <w:pPr>
        <w:pStyle w:val="ConsPlusTitle"/>
        <w:widowControl/>
        <w:numPr>
          <w:ilvl w:val="0"/>
          <w:numId w:val="0"/>
        </w:numPr>
        <w:spacing w:lineRule="auto" w:line="240"/>
        <w:jc w:val="center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spacing w:lineRule="auto" w:line="24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sz w:val="36"/>
          <w:szCs w:val="36"/>
        </w:rPr>
      </w:pPr>
      <w:r>
        <w:rPr>
          <w:rFonts w:cs="Times New Roman" w:ascii="Times New Roman" w:hAnsi="Times New Roman"/>
          <w:b/>
          <w:bCs/>
          <w:sz w:val="36"/>
          <w:szCs w:val="36"/>
        </w:rPr>
        <w:t>ПОСТАНОВЛЕНИЕ</w:t>
      </w:r>
    </w:p>
    <w:p>
      <w:pPr>
        <w:pStyle w:val="Normal"/>
        <w:rPr/>
      </w:pPr>
      <w:r>
        <w:rPr>
          <w:rFonts w:cs="Times New Roman" w:ascii="Times New Roman" w:hAnsi="Times New Roman"/>
          <w:b/>
          <w:bCs/>
        </w:rPr>
        <w:t xml:space="preserve">от   25 февраля 2021 года                                                                                                             № 149      </w:t>
      </w:r>
    </w:p>
    <w:p>
      <w:pPr>
        <w:pStyle w:val="Normal"/>
        <w:shd w:val="clear" w:color="auto" w:fill="FFFFFF"/>
        <w:tabs>
          <w:tab w:val="left" w:pos="5670" w:leader="none"/>
        </w:tabs>
        <w:spacing w:lineRule="auto" w:line="240" w:before="0" w:after="0"/>
        <w:ind w:right="-1" w:hanging="0"/>
        <w:rPr>
          <w:rFonts w:ascii="Times New Roman" w:hAnsi="Times New Roman" w:cs="Times New Roman"/>
          <w:spacing w:val="-3"/>
          <w:sz w:val="28"/>
          <w:szCs w:val="28"/>
        </w:rPr>
      </w:pPr>
      <w:r>
        <w:rPr>
          <w:b/>
          <w:bCs/>
          <w:sz w:val="36"/>
          <w:szCs w:val="36"/>
        </w:rPr>
        <w:t xml:space="preserve">                             </w:t>
      </w:r>
      <w:r>
        <w:rPr>
          <w:rFonts w:cs="Times New Roman" w:ascii="Times New Roman" w:hAnsi="Times New Roman"/>
          <w:b/>
          <w:bCs/>
          <w:spacing w:val="-3"/>
          <w:sz w:val="24"/>
          <w:szCs w:val="24"/>
        </w:rPr>
        <w:t>О проведении экспертиз для проверки</w:t>
      </w:r>
    </w:p>
    <w:p>
      <w:pPr>
        <w:pStyle w:val="Normal"/>
        <w:shd w:val="clear" w:color="auto" w:fill="FFFFFF"/>
        <w:tabs>
          <w:tab w:val="left" w:pos="9355" w:leader="none"/>
        </w:tabs>
        <w:spacing w:lineRule="auto" w:line="240" w:before="0" w:after="0"/>
        <w:ind w:right="141" w:hanging="0"/>
        <w:jc w:val="center"/>
        <w:rPr>
          <w:rFonts w:ascii="Times New Roman" w:hAnsi="Times New Roman" w:cs="Times New Roman"/>
          <w:b/>
          <w:b/>
          <w:bCs/>
          <w:spacing w:val="-3"/>
          <w:sz w:val="28"/>
          <w:szCs w:val="28"/>
        </w:rPr>
      </w:pPr>
      <w:r>
        <w:rPr>
          <w:rFonts w:cs="Times New Roman" w:ascii="Times New Roman" w:hAnsi="Times New Roman"/>
          <w:b/>
          <w:bCs/>
          <w:spacing w:val="-3"/>
          <w:sz w:val="24"/>
          <w:szCs w:val="24"/>
        </w:rPr>
        <w:t xml:space="preserve">              </w:t>
      </w:r>
      <w:r>
        <w:rPr>
          <w:rFonts w:cs="Times New Roman" w:ascii="Times New Roman" w:hAnsi="Times New Roman"/>
          <w:b/>
          <w:bCs/>
          <w:spacing w:val="-3"/>
          <w:sz w:val="24"/>
          <w:szCs w:val="24"/>
        </w:rPr>
        <w:t>предоставленных поставщиком, (подрядчиком,  исполнителем) результатов, предусмотренных муниципальными контрактами</w:t>
      </w:r>
    </w:p>
    <w:p>
      <w:pPr>
        <w:pStyle w:val="Normal"/>
        <w:shd w:val="clear" w:color="auto" w:fill="FFFFFF"/>
        <w:ind w:right="-1" w:hanging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На основании части 3 статьи 94 Федерального закона от 5 апреля 2013 года                   № 44-ФЗ «О контрактной системе в сфере закупок товаров, работ, услуг для обеспечения государственных и муниципальных нужд», в целях организации приёмки товаров, работ, услуг и обеспечения проведения экспертиз предоставленных поставщиком (подрядчиком, исполнителем) результатов, предусмотренных муниципальными контрактами, руководствуясь Федеральным законом «Об общих принципах организации местного самоуправления в Российской Федерации» № 131-ФЗ от 06.10.2003 года, в соответствии с Уставом сельского поселения Приморский муниципального района Ставропольский Самарской области, администрация сельского поселения Приморский  муниципального района Ставропольский Самарской области  постановляет: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1"/>
        </w:numPr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Утвердить Положение о проведении экспертиз согласно Приложения № 1                                  к настоящему постановлению.</w:t>
      </w:r>
    </w:p>
    <w:p>
      <w:pPr>
        <w:pStyle w:val="Normal"/>
        <w:numPr>
          <w:ilvl w:val="0"/>
          <w:numId w:val="1"/>
        </w:numPr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Утвердить перечень должностных лиц на постоянной основе, ответственных за проведение внутренних экспертиз, предоставленных поставщиком (подрядчиком, исполнителем) результатов, предусмотренных муниципальными контрактами согласно Приложения № 2 к настоящему постановлению.</w:t>
      </w:r>
    </w:p>
    <w:p>
      <w:pPr>
        <w:pStyle w:val="Normal"/>
        <w:numPr>
          <w:ilvl w:val="0"/>
          <w:numId w:val="1"/>
        </w:numPr>
        <w:spacing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Опубликовать настоящее постановление в газете «</w:t>
      </w:r>
      <w:r>
        <w:rPr>
          <w:rFonts w:cs="Times New Roman" w:ascii="Times New Roman" w:hAnsi="Times New Roman"/>
          <w:sz w:val="24"/>
          <w:szCs w:val="24"/>
        </w:rPr>
        <w:t>Приморский Вестник».</w:t>
      </w:r>
    </w:p>
    <w:p>
      <w:pPr>
        <w:pStyle w:val="Normal"/>
        <w:spacing w:lineRule="auto" w:line="240" w:before="0" w:after="0"/>
        <w:ind w:left="72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Глава сельского поселени</w:t>
      </w:r>
      <w:r>
        <w:rPr>
          <w:rFonts w:cs="Times New Roman" w:ascii="Times New Roman" w:hAnsi="Times New Roman"/>
          <w:sz w:val="24"/>
          <w:szCs w:val="24"/>
        </w:rPr>
        <w:t>я</w:t>
      </w: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                            Э. М. Лопатин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</w:r>
    </w:p>
    <w:p>
      <w:pPr>
        <w:pStyle w:val="Normal"/>
        <w:spacing w:before="0" w:after="0"/>
        <w:ind w:left="720" w:hanging="0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cs="Times New Roman CYR" w:ascii="Times New Roman CYR" w:hAnsi="Times New Roman CYR"/>
          <w:sz w:val="28"/>
          <w:szCs w:val="28"/>
        </w:rPr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right"/>
        <w:rPr/>
      </w:pPr>
      <w:r>
        <w:rPr/>
      </w:r>
    </w:p>
    <w:p>
      <w:pPr>
        <w:pStyle w:val="Normal"/>
        <w:spacing w:lineRule="auto" w:line="240" w:before="0" w:after="0"/>
        <w:ind w:right="11" w:hanging="0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cs="Times New Roman CYR" w:ascii="Times New Roman CYR" w:hAnsi="Times New Roman CYR"/>
          <w:sz w:val="28"/>
          <w:szCs w:val="28"/>
          <w:highlight w:val="white"/>
        </w:rPr>
      </w:r>
    </w:p>
    <w:p>
      <w:pPr>
        <w:pStyle w:val="Normal"/>
        <w:spacing w:lineRule="auto" w:line="240" w:before="0" w:after="0"/>
        <w:ind w:right="11" w:hanging="0"/>
        <w:jc w:val="right"/>
        <w:rPr/>
      </w:pPr>
      <w:r>
        <w:rPr>
          <w:rFonts w:cs="Times New Roman CYR" w:ascii="Times New Roman CYR" w:hAnsi="Times New Roman CYR"/>
          <w:highlight w:val="white"/>
        </w:rPr>
        <w:t xml:space="preserve">Приложение №1   </w:t>
        <w:br/>
        <w:t>к постановлению администрации                                                                                                                 сельского поселения Приморский</w:t>
      </w:r>
    </w:p>
    <w:p>
      <w:pPr>
        <w:pStyle w:val="Normal"/>
        <w:spacing w:lineRule="auto" w:line="240" w:before="0" w:after="0"/>
        <w:ind w:right="11" w:hanging="0"/>
        <w:jc w:val="right"/>
        <w:rPr/>
      </w:pPr>
      <w:r>
        <w:rPr>
          <w:rFonts w:cs="Times New Roman CYR" w:ascii="Times New Roman CYR" w:hAnsi="Times New Roman CYR"/>
          <w:highlight w:val="white"/>
        </w:rPr>
        <w:t>от 25.02.2021г. №149.</w:t>
      </w:r>
    </w:p>
    <w:p>
      <w:pPr>
        <w:pStyle w:val="Normal"/>
        <w:spacing w:lineRule="auto" w:line="240" w:before="0" w:after="0"/>
        <w:ind w:right="11" w:hanging="0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cs="Times New Roman CYR" w:ascii="Times New Roman CYR" w:hAnsi="Times New Roman CYR"/>
          <w:sz w:val="28"/>
          <w:szCs w:val="28"/>
          <w:highlight w:val="white"/>
        </w:rPr>
      </w:r>
    </w:p>
    <w:p>
      <w:pPr>
        <w:pStyle w:val="Normal"/>
        <w:ind w:right="-142" w:hanging="0"/>
        <w:jc w:val="both"/>
        <w:rPr/>
      </w:pPr>
      <w:r>
        <w:rPr>
          <w:rFonts w:cs="Times New Roman" w:ascii="Times New Roman" w:hAnsi="Times New Roman"/>
          <w:b/>
          <w:bCs/>
          <w:sz w:val="28"/>
          <w:szCs w:val="28"/>
        </w:rPr>
        <w:t xml:space="preserve">                                             </w:t>
      </w:r>
      <w:r>
        <w:rPr>
          <w:rFonts w:cs="Times New Roman CYR" w:ascii="Times New Roman CYR" w:hAnsi="Times New Roman CYR"/>
          <w:b/>
          <w:bCs/>
          <w:sz w:val="28"/>
          <w:szCs w:val="28"/>
        </w:rPr>
        <w:t>Положение об экспертизе</w:t>
      </w:r>
    </w:p>
    <w:p>
      <w:pPr>
        <w:pStyle w:val="Normal"/>
        <w:tabs>
          <w:tab w:val="left" w:pos="1134" w:leader="none"/>
        </w:tabs>
        <w:ind w:right="-142" w:hanging="0"/>
        <w:jc w:val="both"/>
        <w:rPr/>
      </w:pPr>
      <w:r>
        <w:rPr>
          <w:rFonts w:cs="Times New Roman" w:ascii="Times New Roman" w:hAnsi="Times New Roman"/>
          <w:sz w:val="28"/>
          <w:szCs w:val="28"/>
          <w:highlight w:val="white"/>
        </w:rPr>
        <w:t>1.</w:t>
      </w:r>
      <w:r>
        <w:rPr>
          <w:rFonts w:cs="Times New Roman" w:ascii="Times New Roman" w:hAnsi="Times New Roman"/>
          <w:sz w:val="24"/>
          <w:szCs w:val="24"/>
          <w:highlight w:val="white"/>
        </w:rPr>
        <w:t xml:space="preserve"> </w:t>
      </w:r>
      <w:r>
        <w:rPr>
          <w:rFonts w:cs="Times New Roman CYR" w:ascii="Times New Roman CYR" w:hAnsi="Times New Roman CYR"/>
          <w:sz w:val="24"/>
          <w:szCs w:val="24"/>
          <w:highlight w:val="white"/>
        </w:rPr>
        <w:t xml:space="preserve">В соответствии с частью 3 статьи 94 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  <w:highlight w:val="white"/>
        </w:rPr>
        <w:t xml:space="preserve"> Федерального  </w:t>
      </w:r>
      <w:hyperlink r:id="rId3">
        <w:r>
          <w:rPr>
            <w:rStyle w:val="Style13"/>
            <w:rFonts w:cs="Times New Roman CYR" w:ascii="Times New Roman CYR" w:hAnsi="Times New Roman CYR"/>
            <w:color w:val="000000"/>
            <w:spacing w:val="5"/>
            <w:sz w:val="24"/>
            <w:szCs w:val="24"/>
            <w:u w:val="none"/>
          </w:rPr>
          <w:t>закона</w:t>
        </w:r>
      </w:hyperlink>
      <w:r>
        <w:rPr>
          <w:rFonts w:cs="Times New Roman" w:ascii="Times New Roman" w:hAnsi="Times New Roman"/>
          <w:color w:val="000000"/>
          <w:spacing w:val="5"/>
          <w:sz w:val="24"/>
          <w:szCs w:val="24"/>
          <w:highlight w:val="white"/>
        </w:rPr>
        <w:t xml:space="preserve"> 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  <w:highlight w:val="white"/>
        </w:rPr>
        <w:t xml:space="preserve">от 05.04.2013г. № 44-ФЗ </w:t>
      </w:r>
      <w:r>
        <w:rPr>
          <w:rFonts w:cs="Times New Roman" w:ascii="Times New Roman" w:hAnsi="Times New Roman"/>
          <w:color w:val="000000"/>
          <w:spacing w:val="5"/>
          <w:sz w:val="24"/>
          <w:szCs w:val="24"/>
          <w:highlight w:val="white"/>
        </w:rPr>
        <w:t>«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  <w:highlight w:val="white"/>
        </w:rPr>
        <w:t>О контрактной системе в сфере закупок товаров, работ, услуг для обеспечения государственных и муниципальных нужд</w:t>
      </w:r>
      <w:r>
        <w:rPr>
          <w:rFonts w:cs="Times New Roman" w:ascii="Times New Roman" w:hAnsi="Times New Roman"/>
          <w:color w:val="000000"/>
          <w:spacing w:val="5"/>
          <w:sz w:val="24"/>
          <w:szCs w:val="24"/>
          <w:highlight w:val="white"/>
        </w:rPr>
        <w:t xml:space="preserve">» </w:t>
      </w:r>
      <w:r>
        <w:rPr>
          <w:rFonts w:cs="Times New Roman CYR" w:ascii="Times New Roman CYR" w:hAnsi="Times New Roman CYR"/>
          <w:sz w:val="24"/>
          <w:szCs w:val="24"/>
          <w:highlight w:val="white"/>
        </w:rPr>
        <w:t>для проверки предоставленных поставщиком (подрядчиком, исполнителем) результатов, предусмотренных контрактом, в части их соответствия условиям контракта администрация муниципального района Ставропольский (далее – Заказчик) обязана провести экспертизу.</w:t>
        <w:tab/>
        <w:tab/>
        <w:tab/>
        <w:tab/>
        <w:t xml:space="preserve">                       </w:t>
        <w:tab/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  <w:highlight w:val="white"/>
        </w:rPr>
        <w:t xml:space="preserve">Экспертиза результатов, предусмотренных контрактом, в разрешённых законодательством случаях может проводиться Заказчиком своими силами или к её проведению могут привлекаться эксперты, экспертные организации (согласно приложению № 1 к положению). </w:t>
      </w:r>
    </w:p>
    <w:p>
      <w:pPr>
        <w:pStyle w:val="Normal"/>
        <w:tabs>
          <w:tab w:val="left" w:pos="1134" w:leader="none"/>
        </w:tabs>
        <w:ind w:right="-142" w:hanging="0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>
        <w:rPr>
          <w:rFonts w:cs="Times New Roman" w:ascii="Times New Roman" w:hAnsi="Times New Roman"/>
          <w:sz w:val="24"/>
          <w:szCs w:val="24"/>
          <w:highlight w:val="white"/>
        </w:rPr>
        <w:t xml:space="preserve">2. </w:t>
      </w:r>
      <w:r>
        <w:rPr>
          <w:rFonts w:cs="Times New Roman CYR" w:ascii="Times New Roman CYR" w:hAnsi="Times New Roman CYR"/>
          <w:sz w:val="24"/>
          <w:szCs w:val="24"/>
          <w:highlight w:val="white"/>
        </w:rPr>
        <w:t>В целях проведения экспертизы силами Заказчика (согласно Приложения № 2 к настоящему постановлению), привлекаются специалисты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  <w:highlight w:val="white"/>
        </w:rPr>
        <w:t xml:space="preserve"> </w:t>
      </w:r>
      <w:r>
        <w:rPr>
          <w:rFonts w:cs="Times New Roman CYR" w:ascii="Times New Roman CYR" w:hAnsi="Times New Roman CYR"/>
          <w:sz w:val="24"/>
          <w:szCs w:val="24"/>
          <w:highlight w:val="white"/>
        </w:rPr>
        <w:t xml:space="preserve">из числа работников Заказчика, обладающие специальными познаниями, опытом, квалификацией в области строительства объектов, науки, образования, техники, искусства, имущественных отношений и иных видов деятельности в целях обеспечения муниципальных нужд района, 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  <w:highlight w:val="white"/>
        </w:rPr>
        <w:t xml:space="preserve">для проверки предоставленных поставщиком (подрядчиком, исполнителем) результатов, предусмотренных контрактом, в части их соответствия условиям контракта. </w:t>
      </w:r>
    </w:p>
    <w:p>
      <w:pPr>
        <w:pStyle w:val="Normal"/>
        <w:tabs>
          <w:tab w:val="left" w:pos="1134" w:leader="none"/>
        </w:tabs>
        <w:ind w:right="-142" w:hanging="0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>
        <w:rPr>
          <w:rFonts w:cs="Times New Roman" w:ascii="Times New Roman" w:hAnsi="Times New Roman"/>
          <w:sz w:val="24"/>
          <w:szCs w:val="24"/>
          <w:highlight w:val="white"/>
        </w:rPr>
        <w:t>3.</w:t>
      </w:r>
      <w:r>
        <w:rPr>
          <w:rFonts w:cs="Times New Roman" w:ascii="Times New Roman" w:hAnsi="Times New Roman"/>
          <w:b/>
          <w:bCs/>
          <w:sz w:val="24"/>
          <w:szCs w:val="24"/>
          <w:highlight w:val="white"/>
        </w:rPr>
        <w:t xml:space="preserve"> 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  <w:highlight w:val="white"/>
        </w:rPr>
        <w:t>Специалисты привлекаются Заказчиком для оценки результатов конкретной закупки и действуют на постоянной основе. Результаты оценки подлежат описанию в экспертном заключении согласно приложения № 2 к настоящему Положению.</w:t>
      </w:r>
    </w:p>
    <w:p>
      <w:pPr>
        <w:pStyle w:val="Normal"/>
        <w:ind w:right="-142"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4.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 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</w:rPr>
        <w:t xml:space="preserve">Привлечённые эксперты, экспертные организации проводят экспертизу исполнения контракта и по её результатам составляют </w:t>
      </w:r>
      <w:r>
        <w:rPr>
          <w:rFonts w:cs="Times New Roman CYR" w:ascii="Times New Roman CYR" w:hAnsi="Times New Roman CYR"/>
          <w:sz w:val="24"/>
          <w:szCs w:val="24"/>
        </w:rPr>
        <w:t xml:space="preserve">экспертное заключение. </w:t>
        <w:tab/>
        <w:tab/>
        <w:tab/>
        <w:tab/>
        <w:t xml:space="preserve">Специалист, действующий на постоянной основе, 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</w:rPr>
        <w:t xml:space="preserve">проводит экспертизу исполнения контракта и по её результатам составляет </w:t>
      </w:r>
      <w:r>
        <w:rPr>
          <w:rFonts w:cs="Times New Roman CYR" w:ascii="Times New Roman CYR" w:hAnsi="Times New Roman CYR"/>
          <w:sz w:val="24"/>
          <w:szCs w:val="24"/>
        </w:rPr>
        <w:t xml:space="preserve">экспертное заключение в течение 5 рабочих дней со дня передачи ему копии контракта и акта выполненных работ, оказанных услуг, приемки-передачи товара контрактным управляющим. </w:t>
      </w:r>
    </w:p>
    <w:p>
      <w:pPr>
        <w:pStyle w:val="Normal"/>
        <w:tabs>
          <w:tab w:val="left" w:pos="1134" w:leader="none"/>
        </w:tabs>
        <w:ind w:right="-142" w:hanging="0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>
        <w:rPr>
          <w:rFonts w:cs="Times New Roman" w:ascii="Times New Roman" w:hAnsi="Times New Roman"/>
          <w:color w:val="000000"/>
          <w:spacing w:val="5"/>
          <w:sz w:val="24"/>
          <w:szCs w:val="24"/>
          <w:highlight w:val="white"/>
        </w:rPr>
        <w:t xml:space="preserve">5. 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  <w:highlight w:val="white"/>
        </w:rPr>
        <w:t xml:space="preserve">Для проведения экспертизы результатов, предусмотренных контрактом, специалист, эксперт, экспертная организация имеют право запрашивать у Заказчика и поставщика (подрядчика, исполнителя) дополнительные материалы, относящиеся к условиям исполнения контракта и отдельным этапам исполнения контракта. </w:t>
      </w:r>
    </w:p>
    <w:p>
      <w:pPr>
        <w:pStyle w:val="Normal"/>
        <w:tabs>
          <w:tab w:val="left" w:pos="1134" w:leader="none"/>
        </w:tabs>
        <w:ind w:right="-142" w:hanging="0"/>
        <w:jc w:val="both"/>
        <w:rPr/>
      </w:pPr>
      <w:r>
        <w:rPr>
          <w:rFonts w:cs="Times New Roman" w:ascii="Times New Roman" w:hAnsi="Times New Roman"/>
          <w:color w:val="000000"/>
          <w:spacing w:val="5"/>
          <w:sz w:val="24"/>
          <w:szCs w:val="24"/>
          <w:highlight w:val="white"/>
        </w:rPr>
        <w:t xml:space="preserve">6. 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  <w:highlight w:val="white"/>
        </w:rPr>
        <w:t xml:space="preserve">Результаты экспертизы оформляются в виде заключения, которое подписывается специалистом, уполномоченным представителем экспертной организации и должно быть объективным, обоснованным и соответствовать законодательству Российской Федерации. </w:t>
      </w:r>
    </w:p>
    <w:p>
      <w:pPr>
        <w:pStyle w:val="Normal"/>
        <w:tabs>
          <w:tab w:val="left" w:pos="1134" w:leader="none"/>
        </w:tabs>
        <w:ind w:right="-142" w:hanging="0"/>
        <w:jc w:val="both"/>
        <w:rPr/>
      </w:pPr>
      <w:r>
        <w:rPr>
          <w:rFonts w:cs="Times New Roman" w:ascii="Times New Roman" w:hAnsi="Times New Roman"/>
          <w:color w:val="000000"/>
          <w:spacing w:val="5"/>
          <w:sz w:val="24"/>
          <w:szCs w:val="24"/>
          <w:highlight w:val="white"/>
        </w:rPr>
        <w:t xml:space="preserve">7. 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  <w:highlight w:val="white"/>
        </w:rPr>
        <w:t>В случае, если по результатам экспертизы установлены нарушения требований контракта, не препятствующие приёмке поставленного товара, выполненной работы или оказанной услуги, в заключении могут содержаться предложения об устранении данных нарушений, в том числе с указанием срока их устранения.</w:t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 CYR" w:ascii="Times New Roman CYR" w:hAnsi="Times New Roman CYR"/>
        </w:rPr>
        <w:t>Приложение № 1</w:t>
      </w:r>
    </w:p>
    <w:p>
      <w:pPr>
        <w:pStyle w:val="Normal"/>
        <w:spacing w:lineRule="auto" w:line="240" w:before="0" w:after="0"/>
        <w:jc w:val="right"/>
        <w:rPr>
          <w:rFonts w:ascii="Times New Roman CYR" w:hAnsi="Times New Roman CYR" w:cs="Times New Roman CYR"/>
        </w:rPr>
      </w:pPr>
      <w:r>
        <w:rPr>
          <w:rFonts w:cs="Times New Roman CYR" w:ascii="Times New Roman CYR" w:hAnsi="Times New Roman CYR"/>
        </w:rPr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</w:rPr>
        <w:t xml:space="preserve"> </w:t>
      </w:r>
      <w:r>
        <w:rPr>
          <w:rFonts w:cs="Times New Roman CYR" w:ascii="Times New Roman CYR" w:hAnsi="Times New Roman CYR"/>
        </w:rPr>
        <w:t>к Положению об экспертизе</w:t>
      </w:r>
    </w:p>
    <w:p>
      <w:pPr>
        <w:pStyle w:val="Normal"/>
        <w:spacing w:lineRule="auto" w:line="240" w:before="0" w:after="0"/>
        <w:jc w:val="right"/>
        <w:rPr/>
      </w:pPr>
      <w:r>
        <w:rPr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right"/>
        <w:rPr>
          <w:rFonts w:ascii="Times New Roman CYR" w:hAnsi="Times New Roman CYR" w:cs="Times New Roman CYR"/>
          <w:sz w:val="28"/>
          <w:szCs w:val="28"/>
        </w:rPr>
      </w:pPr>
      <w:r>
        <w:rPr>
          <w:rFonts w:cs="Times New Roman CYR" w:ascii="Times New Roman CYR" w:hAnsi="Times New Roman CYR"/>
          <w:sz w:val="28"/>
          <w:szCs w:val="28"/>
        </w:rPr>
      </w:r>
    </w:p>
    <w:p>
      <w:pPr>
        <w:pStyle w:val="NormalWeb"/>
        <w:spacing w:beforeAutospacing="0" w:before="0" w:afterAutospacing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ФОРМА</w:t>
      </w:r>
    </w:p>
    <w:p>
      <w:pPr>
        <w:pStyle w:val="NormalWeb"/>
        <w:spacing w:beforeAutospacing="0" w:before="0" w:afterAutospacing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УВЕДОМЛЕНИЯ – ЗАЯВКИ</w:t>
      </w:r>
    </w:p>
    <w:p>
      <w:pPr>
        <w:pStyle w:val="NormalWeb"/>
        <w:spacing w:beforeAutospacing="0" w:before="0" w:afterAutospacing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Web"/>
        <w:spacing w:beforeAutospacing="0" w:before="0" w:afterAutospacing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Эксперту (Руководителю экспертной организации)</w:t>
      </w:r>
    </w:p>
    <w:p>
      <w:pPr>
        <w:pStyle w:val="NormalWeb"/>
        <w:spacing w:beforeAutospacing="0" w:before="0" w:afterAutospacing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УВЕДОМЛЕНИЕ - ЗАЯВКА №___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Заказчик просит провести экспертизу, согласно условиям заключенного контракта (договора) на оказание экспертных услуг №____________ от «____»_____________20___г.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Место проведения экспертизы (адрес):_____________________________________________________________________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Задача экспертизы: ___________________________________________________________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____________________________________________________________________________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u w:val="single"/>
        </w:rPr>
        <w:t>______________________________________________ _____________(</w:t>
      </w:r>
      <w:r>
        <w:rPr>
          <w:rStyle w:val="Style14"/>
          <w:rFonts w:cs="Times New Roman" w:ascii="Times New Roman" w:hAnsi="Times New Roman"/>
          <w:u w:val="single"/>
        </w:rPr>
        <w:t xml:space="preserve">нужное отразить) 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Наименование товара, работы, услуги:____________________________________________</w:t>
      </w:r>
    </w:p>
    <w:p>
      <w:pPr>
        <w:pStyle w:val="NormalWeb"/>
        <w:spacing w:beforeAutospacing="0" w:before="0" w:afterAutospacing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_____________________________________________________________________________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Поставщик, подрядчик, исполнитель: _____________________________________________</w:t>
      </w:r>
    </w:p>
    <w:p>
      <w:pPr>
        <w:pStyle w:val="NormalWeb"/>
        <w:spacing w:beforeAutospacing="0" w:before="0" w:afterAutospacing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Контракт / договор (с поставщиком, подрядчиком, исполнителем)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№ </w:t>
      </w:r>
      <w:r>
        <w:rPr>
          <w:rFonts w:cs="Times New Roman" w:ascii="Times New Roman" w:hAnsi="Times New Roman"/>
        </w:rPr>
        <w:t>_________________ от «__»____20__г.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Создание условий для проведения экспертизы гарантирую.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Ф.И.О., должность руководителя заказчика ____________________________________________________________________________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Контактный телефон__________________________________________________________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Подпись руководителя_________________________________________________________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Дата, время подачи заявки______________________________________________________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М.П.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right"/>
        <w:rPr>
          <w:rFonts w:ascii="Times New Roman CYR" w:hAnsi="Times New Roman CYR" w:cs="Times New Roman CYR"/>
          <w:sz w:val="28"/>
          <w:szCs w:val="28"/>
        </w:rPr>
      </w:pPr>
      <w:r>
        <w:rPr>
          <w:rFonts w:cs="Times New Roman CYR" w:ascii="Times New Roman CYR" w:hAnsi="Times New Roman CYR"/>
          <w:sz w:val="28"/>
          <w:szCs w:val="28"/>
        </w:rPr>
      </w:r>
    </w:p>
    <w:p>
      <w:pPr>
        <w:pStyle w:val="Normal"/>
        <w:jc w:val="right"/>
        <w:rPr>
          <w:rFonts w:ascii="Times New Roman CYR" w:hAnsi="Times New Roman CYR" w:cs="Times New Roman CYR"/>
          <w:sz w:val="28"/>
          <w:szCs w:val="28"/>
        </w:rPr>
      </w:pPr>
      <w:r>
        <w:rPr>
          <w:rFonts w:cs="Times New Roman CYR" w:ascii="Times New Roman CYR" w:hAnsi="Times New Roman CYR"/>
          <w:sz w:val="28"/>
          <w:szCs w:val="28"/>
        </w:rPr>
      </w:r>
    </w:p>
    <w:p>
      <w:pPr>
        <w:pStyle w:val="Normal"/>
        <w:jc w:val="right"/>
        <w:rPr>
          <w:rFonts w:ascii="Times New Roman CYR" w:hAnsi="Times New Roman CYR" w:cs="Times New Roman CYR"/>
          <w:sz w:val="28"/>
          <w:szCs w:val="28"/>
        </w:rPr>
      </w:pPr>
      <w:r>
        <w:rPr>
          <w:rFonts w:cs="Times New Roman CYR" w:ascii="Times New Roman CYR" w:hAnsi="Times New Roman CYR"/>
          <w:sz w:val="28"/>
          <w:szCs w:val="28"/>
        </w:rPr>
      </w:r>
    </w:p>
    <w:p>
      <w:pPr>
        <w:pStyle w:val="Normal"/>
        <w:rPr>
          <w:rFonts w:ascii="Times New Roman CYR" w:hAnsi="Times New Roman CYR" w:cs="Times New Roman CYR"/>
        </w:rPr>
      </w:pPr>
      <w:r>
        <w:rPr>
          <w:rFonts w:cs="Times New Roman CYR" w:ascii="Times New Roman CYR" w:hAnsi="Times New Roman CYR"/>
        </w:rPr>
      </w:r>
    </w:p>
    <w:p>
      <w:pPr>
        <w:pStyle w:val="Normal"/>
        <w:jc w:val="right"/>
        <w:rPr>
          <w:rFonts w:ascii="Times New Roman CYR" w:hAnsi="Times New Roman CYR" w:cs="Times New Roman CYR"/>
        </w:rPr>
      </w:pPr>
      <w:r>
        <w:rPr>
          <w:rFonts w:cs="Times New Roman CYR" w:ascii="Times New Roman CYR" w:hAnsi="Times New Roman CYR"/>
        </w:rPr>
        <w:t>Приложение № 2</w:t>
      </w:r>
    </w:p>
    <w:p>
      <w:pPr>
        <w:pStyle w:val="Normal"/>
        <w:jc w:val="right"/>
        <w:rPr>
          <w:rFonts w:ascii="Times New Roman CYR" w:hAnsi="Times New Roman CYR" w:cs="Times New Roman CYR"/>
        </w:rPr>
      </w:pPr>
      <w:r>
        <w:rPr>
          <w:rFonts w:cs="Times New Roman" w:ascii="Times New Roman" w:hAnsi="Times New Roman"/>
        </w:rPr>
        <w:t xml:space="preserve"> </w:t>
      </w:r>
      <w:r>
        <w:rPr>
          <w:rFonts w:cs="Times New Roman CYR" w:ascii="Times New Roman CYR" w:hAnsi="Times New Roman CYR"/>
        </w:rPr>
        <w:t xml:space="preserve">к Положению об экспертизе </w:t>
      </w:r>
    </w:p>
    <w:p>
      <w:pPr>
        <w:pStyle w:val="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center"/>
        <w:rPr>
          <w:rFonts w:ascii="Times New Roman CYR" w:hAnsi="Times New Roman CYR" w:cs="Times New Roman CYR"/>
          <w:b/>
          <w:b/>
          <w:bCs/>
          <w:sz w:val="28"/>
          <w:szCs w:val="28"/>
        </w:rPr>
      </w:pPr>
      <w:r>
        <w:rPr>
          <w:rFonts w:cs="Times New Roman CYR" w:ascii="Times New Roman CYR" w:hAnsi="Times New Roman CYR"/>
          <w:b/>
          <w:bCs/>
          <w:sz w:val="28"/>
          <w:szCs w:val="28"/>
        </w:rPr>
        <w:t>Экспертное заключение</w:t>
      </w:r>
    </w:p>
    <w:tbl>
      <w:tblPr>
        <w:tblW w:w="9571" w:type="dxa"/>
        <w:jc w:val="left"/>
        <w:tblInd w:w="-106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785"/>
        <w:gridCol w:w="4785"/>
      </w:tblGrid>
      <w:tr>
        <w:trPr>
          <w:trHeight w:val="1" w:hRule="atLeast"/>
        </w:trPr>
        <w:tc>
          <w:tcPr>
            <w:tcW w:w="4785" w:type="dxa"/>
            <w:tcBorders/>
            <w:shd w:fill="auto" w:val="clea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lang w:val="en-US" w:eastAsia="en-US"/>
              </w:rPr>
            </w:pPr>
            <w:r>
              <w:rPr>
                <w:rFonts w:cs="Times New Roman CYR" w:ascii="Times New Roman CYR" w:hAnsi="Times New Roman CYR"/>
              </w:rPr>
              <w:t>г. ________________</w:t>
            </w:r>
          </w:p>
        </w:tc>
        <w:tc>
          <w:tcPr>
            <w:tcW w:w="4785" w:type="dxa"/>
            <w:tcBorders/>
            <w:shd w:fill="auto" w:val="clear"/>
          </w:tcPr>
          <w:p>
            <w:pPr>
              <w:pStyle w:val="Normal"/>
              <w:spacing w:before="0" w:after="200"/>
              <w:jc w:val="right"/>
              <w:rPr>
                <w:lang w:val="en-US" w:eastAsia="en-US"/>
              </w:rPr>
            </w:pPr>
            <w:r>
              <w:rPr>
                <w:rFonts w:cs="Times New Roman" w:ascii="Times New Roman" w:hAnsi="Times New Roman"/>
                <w:lang w:val="en-US"/>
              </w:rPr>
              <w:t>«____» _________ 2</w:t>
            </w:r>
            <w:r>
              <w:rPr>
                <w:rFonts w:cs="Times New Roman" w:ascii="Times New Roman" w:hAnsi="Times New Roman"/>
              </w:rPr>
              <w:t>0</w:t>
            </w:r>
            <w:r>
              <w:rPr>
                <w:rFonts w:cs="Times New Roman" w:ascii="Times New Roman" w:hAnsi="Times New Roman"/>
                <w:lang w:val="en-US"/>
              </w:rPr>
              <w:t xml:space="preserve">___ </w:t>
            </w:r>
            <w:r>
              <w:rPr>
                <w:rFonts w:cs="Times New Roman CYR" w:ascii="Times New Roman CYR" w:hAnsi="Times New Roman CYR"/>
              </w:rPr>
              <w:t>г.</w:t>
            </w:r>
          </w:p>
        </w:tc>
      </w:tr>
    </w:tbl>
    <w:p>
      <w:pPr>
        <w:pStyle w:val="Normal"/>
        <w:ind w:firstLine="567"/>
        <w:rPr>
          <w:rFonts w:ascii="Times New Roman CYR" w:hAnsi="Times New Roman CYR" w:cs="Times New Roman CYR"/>
        </w:rPr>
      </w:pPr>
      <w:r>
        <w:rPr>
          <w:rFonts w:cs="Times New Roman CYR" w:ascii="Times New Roman CYR" w:hAnsi="Times New Roman CYR"/>
        </w:rPr>
        <w:t xml:space="preserve">Я, специалист _______________ изучив предоставленные ____________________________ (поставщиком , подрядчиком, исполнителем) результаты исполнения контракта № </w:t>
      </w:r>
      <w:r>
        <w:rPr>
          <w:rFonts w:cs="Times New Roman" w:ascii="Times New Roman" w:hAnsi="Times New Roman"/>
        </w:rPr>
        <w:t>«___________</w:t>
      </w:r>
      <w:bookmarkStart w:id="0" w:name="_GoBack"/>
      <w:bookmarkEnd w:id="0"/>
      <w:r>
        <w:rPr>
          <w:rFonts w:cs="Times New Roman" w:ascii="Times New Roman" w:hAnsi="Times New Roman"/>
        </w:rPr>
        <w:t xml:space="preserve">» </w:t>
      </w:r>
      <w:r>
        <w:rPr>
          <w:rFonts w:cs="Times New Roman CYR" w:ascii="Times New Roman CYR" w:hAnsi="Times New Roman CYR"/>
        </w:rPr>
        <w:t xml:space="preserve">от </w:t>
      </w:r>
      <w:r>
        <w:rPr>
          <w:rFonts w:cs="Times New Roman" w:ascii="Times New Roman" w:hAnsi="Times New Roman"/>
        </w:rPr>
        <w:t xml:space="preserve">«____» _________ 2___ </w:t>
      </w:r>
      <w:r>
        <w:rPr>
          <w:rFonts w:cs="Times New Roman CYR" w:ascii="Times New Roman CYR" w:hAnsi="Times New Roman CYR"/>
        </w:rPr>
        <w:t xml:space="preserve">г. пришел к выводу о _______________ (соответствии, не соответствии) результатов условиям контракта, по следующим причинам 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(указывается обоснование позиции специалиста, с полным описанием предоставленных результатов исполнения контракта). </w:t>
      </w:r>
    </w:p>
    <w:p>
      <w:pPr>
        <w:pStyle w:val="Normal"/>
        <w:ind w:firstLine="567"/>
        <w:jc w:val="center"/>
        <w:rPr>
          <w:rFonts w:ascii="Times New Roman CYR" w:hAnsi="Times New Roman CYR" w:cs="Times New Roman CYR"/>
        </w:rPr>
      </w:pPr>
      <w:r>
        <w:rPr>
          <w:rFonts w:cs="Times New Roman" w:ascii="Times New Roman" w:hAnsi="Times New Roman"/>
        </w:rPr>
        <w:t>*(</w:t>
      </w:r>
      <w:r>
        <w:rPr>
          <w:rFonts w:cs="Times New Roman CYR" w:ascii="Times New Roman CYR" w:hAnsi="Times New Roman CYR"/>
          <w:b/>
          <w:bCs/>
          <w:u w:val="single"/>
        </w:rPr>
        <w:t>заполняется в случае выявления нарушений требований контракта не препятствующих приемке</w:t>
      </w:r>
      <w:r>
        <w:rPr>
          <w:rFonts w:cs="Times New Roman CYR" w:ascii="Times New Roman CYR" w:hAnsi="Times New Roman CYR"/>
        </w:rPr>
        <w:t>)</w:t>
      </w:r>
    </w:p>
    <w:p>
      <w:pPr>
        <w:pStyle w:val="Normal"/>
        <w:ind w:firstLine="567"/>
        <w:rPr>
          <w:rFonts w:ascii="Times New Roman CYR" w:hAnsi="Times New Roman CYR" w:cs="Times New Roman CYR"/>
        </w:rPr>
      </w:pPr>
      <w:r>
        <w:rPr>
          <w:rFonts w:cs="Times New Roman CYR" w:ascii="Times New Roman CYR" w:hAnsi="Times New Roman CYR"/>
        </w:rPr>
        <w:t xml:space="preserve">В ходе экспертной оценки ________________________________ были выявлены следующие недостатки, не препятствующие приемке: ________________________________________________ _____________________________________________________________________________________  </w:t>
      </w:r>
    </w:p>
    <w:p>
      <w:pPr>
        <w:pStyle w:val="Normal"/>
        <w:jc w:val="center"/>
        <w:rPr>
          <w:rFonts w:ascii="Times New Roman CYR" w:hAnsi="Times New Roman CYR" w:cs="Times New Roman CYR"/>
        </w:rPr>
      </w:pPr>
      <w:r>
        <w:rPr>
          <w:rFonts w:cs="Times New Roman" w:ascii="Times New Roman" w:hAnsi="Times New Roman"/>
        </w:rPr>
        <w:t>*(</w:t>
      </w:r>
      <w:r>
        <w:rPr>
          <w:rFonts w:cs="Times New Roman CYR" w:ascii="Times New Roman CYR" w:hAnsi="Times New Roman CYR"/>
          <w:b/>
          <w:bCs/>
          <w:u w:val="single"/>
        </w:rPr>
        <w:t>заполняется в случае наличия у специалиста соответствующих предложений, раздел о сроках заполняется при наличии у специалиста предложений о сроках устранения недостатков</w:t>
      </w:r>
      <w:r>
        <w:rPr>
          <w:rFonts w:cs="Times New Roman CYR" w:ascii="Times New Roman CYR" w:hAnsi="Times New Roman CYR"/>
        </w:rPr>
        <w:t>)</w:t>
      </w:r>
    </w:p>
    <w:p>
      <w:pPr>
        <w:pStyle w:val="Normal"/>
        <w:ind w:firstLine="567"/>
        <w:rPr>
          <w:rFonts w:ascii="Times New Roman CYR" w:hAnsi="Times New Roman CYR" w:cs="Times New Roman CYR"/>
        </w:rPr>
      </w:pPr>
      <w:r>
        <w:rPr>
          <w:rFonts w:cs="Times New Roman CYR" w:ascii="Times New Roman CYR" w:hAnsi="Times New Roman CYR"/>
        </w:rPr>
        <w:t>В целях устранения выявленных недостатков предлагается ____________________________ ___________________________________________________________________________________________________________________________________________________________________________________________, в течение ___________________________.</w:t>
      </w:r>
    </w:p>
    <w:p>
      <w:pPr>
        <w:pStyle w:val="Normal"/>
        <w:ind w:firstLine="567"/>
        <w:rPr>
          <w:rFonts w:ascii="Times New Roman CYR" w:hAnsi="Times New Roman CYR" w:cs="Times New Roman CYR"/>
        </w:rPr>
      </w:pPr>
      <w:r>
        <w:rPr>
          <w:rFonts w:cs="Times New Roman CYR" w:ascii="Times New Roman CYR" w:hAnsi="Times New Roman CYR"/>
        </w:rPr>
        <w:t>На основании вышеизложенного, рекомендую _______________________________________ ________________________________________________________ (принять результаты исполнения по контракту, отказаться от приёмки результатов исполнения по контракту)</w:t>
      </w:r>
    </w:p>
    <w:p>
      <w:pPr>
        <w:pStyle w:val="Normal"/>
        <w:ind w:firstLine="567"/>
        <w:rPr>
          <w:rFonts w:ascii="Times New Roman CYR" w:hAnsi="Times New Roman CYR" w:cs="Times New Roman CYR"/>
        </w:rPr>
      </w:pPr>
      <w:r>
        <w:rPr>
          <w:rFonts w:cs="Times New Roman CYR" w:ascii="Times New Roman CYR" w:hAnsi="Times New Roman CYR"/>
        </w:rPr>
      </w:r>
    </w:p>
    <w:tbl>
      <w:tblPr>
        <w:tblW w:w="9571" w:type="dxa"/>
        <w:jc w:val="left"/>
        <w:tblInd w:w="-106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785"/>
        <w:gridCol w:w="4785"/>
      </w:tblGrid>
      <w:tr>
        <w:trPr>
          <w:trHeight w:val="1" w:hRule="atLeast"/>
        </w:trPr>
        <w:tc>
          <w:tcPr>
            <w:tcW w:w="4785" w:type="dxa"/>
            <w:tcBorders/>
            <w:shd w:fill="auto" w:val="clea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4"/>
                <w:szCs w:val="24"/>
                <w:lang w:val="en-US" w:eastAsia="en-US"/>
              </w:rPr>
            </w:pPr>
            <w:r>
              <w:rPr>
                <w:rFonts w:cs="Times New Roman CYR" w:ascii="Times New Roman CYR" w:hAnsi="Times New Roman CYR"/>
                <w:sz w:val="24"/>
                <w:szCs w:val="24"/>
              </w:rPr>
              <w:t>Специалист</w:t>
            </w:r>
          </w:p>
        </w:tc>
        <w:tc>
          <w:tcPr>
            <w:tcW w:w="4785" w:type="dxa"/>
            <w:tcBorders/>
            <w:shd w:fill="auto" w:val="clear"/>
          </w:tcPr>
          <w:p>
            <w:pPr>
              <w:pStyle w:val="Normal"/>
              <w:spacing w:before="0" w:after="200"/>
              <w:jc w:val="right"/>
              <w:rPr>
                <w:sz w:val="24"/>
                <w:szCs w:val="24"/>
                <w:lang w:val="en-US" w:eastAsia="en-US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val="en-US"/>
              </w:rPr>
              <w:t>__________ / __________ (</w:t>
            </w:r>
            <w:r>
              <w:rPr>
                <w:rFonts w:cs="Times New Roman CYR" w:ascii="Times New Roman CYR" w:hAnsi="Times New Roman CYR"/>
                <w:sz w:val="24"/>
                <w:szCs w:val="24"/>
              </w:rPr>
              <w:t>ФИО)</w:t>
            </w:r>
          </w:p>
        </w:tc>
      </w:tr>
      <w:tr>
        <w:trPr>
          <w:trHeight w:val="1" w:hRule="atLeast"/>
        </w:trPr>
        <w:tc>
          <w:tcPr>
            <w:tcW w:w="4785" w:type="dxa"/>
            <w:tcBorders/>
            <w:shd w:fill="auto" w:val="clear"/>
          </w:tcPr>
          <w:p>
            <w:pPr>
              <w:pStyle w:val="Normal"/>
              <w:spacing w:before="0" w:after="200"/>
              <w:rPr>
                <w:sz w:val="24"/>
                <w:szCs w:val="24"/>
                <w:lang w:val="en-US" w:eastAsia="en-US"/>
              </w:rPr>
            </w:pPr>
            <w:r>
              <w:rPr>
                <w:sz w:val="24"/>
                <w:szCs w:val="24"/>
                <w:lang w:val="en-US" w:eastAsia="en-US"/>
              </w:rPr>
            </w:r>
          </w:p>
        </w:tc>
        <w:tc>
          <w:tcPr>
            <w:tcW w:w="4785" w:type="dxa"/>
            <w:tcBorders/>
            <w:shd w:fill="auto" w:val="clear"/>
          </w:tcPr>
          <w:p>
            <w:pPr>
              <w:pStyle w:val="Normal"/>
              <w:spacing w:before="0" w:after="200"/>
              <w:jc w:val="right"/>
              <w:rPr>
                <w:sz w:val="24"/>
                <w:szCs w:val="24"/>
                <w:lang w:val="en-US" w:eastAsia="en-US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val="en-US"/>
              </w:rPr>
              <w:t>«____» _________ 2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  <w:r>
              <w:rPr>
                <w:rFonts w:cs="Times New Roman" w:ascii="Times New Roman" w:hAnsi="Times New Roman"/>
                <w:sz w:val="24"/>
                <w:szCs w:val="24"/>
                <w:lang w:val="en-US"/>
              </w:rPr>
              <w:t xml:space="preserve">___ </w:t>
            </w:r>
            <w:r>
              <w:rPr>
                <w:rFonts w:cs="Times New Roman CYR" w:ascii="Times New Roman CYR" w:hAnsi="Times New Roman CYR"/>
                <w:sz w:val="24"/>
                <w:szCs w:val="24"/>
              </w:rPr>
              <w:t>г.</w:t>
            </w:r>
          </w:p>
        </w:tc>
      </w:tr>
      <w:tr>
        <w:trPr>
          <w:trHeight w:val="1" w:hRule="atLeast"/>
        </w:trPr>
        <w:tc>
          <w:tcPr>
            <w:tcW w:w="4785" w:type="dxa"/>
            <w:tcBorders/>
            <w:shd w:fill="auto" w:val="clear"/>
          </w:tcPr>
          <w:p>
            <w:pPr>
              <w:pStyle w:val="Normal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</w:r>
          </w:p>
          <w:p>
            <w:pPr>
              <w:pStyle w:val="Normal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</w:r>
          </w:p>
          <w:p>
            <w:pPr>
              <w:pStyle w:val="Normal"/>
              <w:spacing w:before="0" w:after="20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</w:r>
          </w:p>
        </w:tc>
        <w:tc>
          <w:tcPr>
            <w:tcW w:w="4785" w:type="dxa"/>
            <w:tcBorders/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before="0" w:after="20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tabs>
          <w:tab w:val="left" w:pos="6720" w:leader="none"/>
        </w:tabs>
        <w:rPr>
          <w:rFonts w:ascii="Times New Roman CYR" w:hAnsi="Times New Roman CYR" w:cs="Times New Roman CYR"/>
          <w:highlight w:val="white"/>
        </w:rPr>
      </w:pPr>
      <w:r>
        <w:rPr>
          <w:rFonts w:cs="Times New Roman CYR" w:ascii="Times New Roman CYR" w:hAnsi="Times New Roman CYR"/>
          <w:highlight w:val="white"/>
        </w:rPr>
      </w:r>
    </w:p>
    <w:p>
      <w:pPr>
        <w:pStyle w:val="Normal"/>
        <w:spacing w:lineRule="auto" w:line="240" w:before="0" w:after="0"/>
        <w:ind w:right="11" w:hanging="0"/>
        <w:jc w:val="right"/>
        <w:rPr/>
      </w:pPr>
      <w:r>
        <w:rPr>
          <w:rFonts w:cs="Times New Roman CYR" w:ascii="Times New Roman CYR" w:hAnsi="Times New Roman CYR"/>
          <w:highlight w:val="white"/>
        </w:rPr>
        <w:t xml:space="preserve">Приложение №2   </w:t>
        <w:br/>
        <w:t>к постановлению администрации                                                                                                                сельского поселения Приморский</w:t>
      </w:r>
    </w:p>
    <w:p>
      <w:pPr>
        <w:pStyle w:val="Normal"/>
        <w:spacing w:lineRule="auto" w:line="240" w:before="0" w:after="0"/>
        <w:ind w:right="11" w:hanging="0"/>
        <w:jc w:val="right"/>
        <w:rPr/>
      </w:pPr>
      <w:r>
        <w:rPr>
          <w:rFonts w:cs="Times New Roman CYR" w:ascii="Times New Roman CYR" w:hAnsi="Times New Roman CYR"/>
          <w:highlight w:val="white"/>
        </w:rPr>
        <w:t>от 25.02.2021г. №149.</w:t>
      </w:r>
    </w:p>
    <w:p>
      <w:pPr>
        <w:pStyle w:val="Normal"/>
        <w:ind w:right="-142" w:hanging="0"/>
        <w:jc w:val="center"/>
        <w:rPr>
          <w:rFonts w:ascii="Times New Roman CYR" w:hAnsi="Times New Roman CYR" w:cs="Times New Roman CYR"/>
          <w:b/>
          <w:b/>
          <w:bCs/>
          <w:sz w:val="24"/>
          <w:szCs w:val="24"/>
        </w:rPr>
      </w:pPr>
      <w:r>
        <w:rPr>
          <w:rFonts w:cs="Times New Roman CYR" w:ascii="Times New Roman CYR" w:hAnsi="Times New Roman CYR"/>
          <w:b/>
          <w:bCs/>
          <w:sz w:val="24"/>
          <w:szCs w:val="24"/>
        </w:rPr>
        <w:t>Перечень должностных лиц</w:t>
      </w:r>
    </w:p>
    <w:p>
      <w:pPr>
        <w:pStyle w:val="Normal"/>
        <w:jc w:val="center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на постоянной основе, ответственных за проведение внутренних экспертиз,  предоставленных поставщиком (подрядчиком, исполнителем) результатов, предусмотренных муниципальными контрактами:</w:t>
      </w:r>
    </w:p>
    <w:tbl>
      <w:tblPr>
        <w:tblW w:w="9570" w:type="dxa"/>
        <w:jc w:val="left"/>
        <w:tblInd w:w="-106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085"/>
        <w:gridCol w:w="6484"/>
      </w:tblGrid>
      <w:tr>
        <w:trPr/>
        <w:tc>
          <w:tcPr>
            <w:tcW w:w="3085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  <w:insideH w:val="double" w:sz="4" w:space="0" w:color="000000"/>
              <w:insideV w:val="doub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 w:cs="Times New Roman"/>
                <w:b/>
                <w:b/>
                <w:bCs/>
              </w:rPr>
            </w:pPr>
            <w:r>
              <w:rPr>
                <w:rFonts w:cs="Times New Roman" w:ascii="Times New Roman" w:hAnsi="Times New Roman"/>
                <w:b/>
                <w:bCs/>
              </w:rPr>
              <w:t>ФИО специалиста</w:t>
            </w:r>
          </w:p>
        </w:tc>
        <w:tc>
          <w:tcPr>
            <w:tcW w:w="6484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  <w:insideH w:val="double" w:sz="4" w:space="0" w:color="000000"/>
              <w:insideV w:val="doub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  <w:b/>
                <w:b/>
                <w:bCs/>
              </w:rPr>
            </w:pPr>
            <w:r>
              <w:rPr>
                <w:rFonts w:cs="Times New Roman" w:ascii="Times New Roman" w:hAnsi="Times New Roman"/>
                <w:b/>
                <w:bCs/>
              </w:rPr>
              <w:t xml:space="preserve">Вид закупки, в отношении результатов которой специалист осуществляет экспертизу.  </w:t>
            </w:r>
          </w:p>
        </w:tc>
      </w:tr>
      <w:tr>
        <w:trPr/>
        <w:tc>
          <w:tcPr>
            <w:tcW w:w="3085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  <w:insideH w:val="double" w:sz="4" w:space="0" w:color="000000"/>
              <w:insideV w:val="doub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 w:cs="Times New Roman"/>
                <w:b/>
                <w:b/>
                <w:bCs/>
              </w:rPr>
            </w:pPr>
            <w:r>
              <w:rPr>
                <w:rFonts w:cs="Times New Roman" w:ascii="Times New Roman" w:hAnsi="Times New Roman"/>
                <w:b/>
                <w:bCs/>
              </w:rPr>
              <w:t>Багрова Н.А.</w:t>
            </w:r>
          </w:p>
        </w:tc>
        <w:tc>
          <w:tcPr>
            <w:tcW w:w="6484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  <w:insideH w:val="double" w:sz="4" w:space="0" w:color="000000"/>
              <w:insideV w:val="doub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1)Услуги типографии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2) Услуги по размещению материалов в газете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3) Юридические услуги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4)Компьютерная и офисная техника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5) Программное обеспечение, расходные материалов для компьютерной и офисной техники, а так же услуги связанные с компьютерной и офисной техникой (в том числе заправка картриджей).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  <w:b/>
                <w:b/>
                <w:bCs/>
              </w:rPr>
            </w:pPr>
            <w:r>
              <w:rPr>
                <w:rFonts w:cs="Times New Roman" w:ascii="Times New Roman" w:hAnsi="Times New Roman"/>
                <w:b/>
                <w:bCs/>
              </w:rPr>
            </w:r>
          </w:p>
        </w:tc>
      </w:tr>
      <w:tr>
        <w:trPr/>
        <w:tc>
          <w:tcPr>
            <w:tcW w:w="3085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  <w:insideH w:val="double" w:sz="4" w:space="0" w:color="000000"/>
              <w:insideV w:val="doub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 w:cs="Times New Roman"/>
                <w:b/>
                <w:b/>
                <w:bCs/>
              </w:rPr>
            </w:pPr>
            <w:r>
              <w:rPr>
                <w:rFonts w:cs="Times New Roman" w:ascii="Times New Roman" w:hAnsi="Times New Roman"/>
                <w:b/>
                <w:bCs/>
              </w:rPr>
              <w:t>Лопатин Э.М.</w:t>
            </w:r>
          </w:p>
        </w:tc>
        <w:tc>
          <w:tcPr>
            <w:tcW w:w="6484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  <w:insideH w:val="double" w:sz="4" w:space="0" w:color="000000"/>
              <w:insideV w:val="doub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 xml:space="preserve">1) Услуги по теплоснабжению, водоснабжению, водоотведению, вывозу твердых бытовых отходов, утилизации ртутьсодержащих приборов.  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2) Все виды ремонта зданий ,помещений, сооружений, хозяйственного инвентаря, сантехнического оборудования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3) Приобретение и ремонт мебели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4) Средства охранно-пожарной сигнализации, услуг связанных с обслуживанием охранно-пожарной сигнализации.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5) Услуги по ремонту дорог, покрытию дорог, щебень, услуги по доставке щебня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6)Услуги по благоустройству территории (услуги спецтехники, техническое обслуживание уличного освещения, уборка территории от мусора, сорняков; расчистка дорог от снега, ремонт памятников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7) электроэнергия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5"/>
                <w:szCs w:val="25"/>
              </w:rPr>
              <w:t>8)</w:t>
            </w:r>
            <w:r>
              <w:rPr>
                <w:rFonts w:cs="Times New Roman" w:ascii="Times New Roman" w:hAnsi="Times New Roman"/>
              </w:rPr>
              <w:t>закупка товаров, работ, услуг в части градостроительной и архитектурной деятельности</w:t>
            </w:r>
          </w:p>
        </w:tc>
      </w:tr>
      <w:tr>
        <w:trPr/>
        <w:tc>
          <w:tcPr>
            <w:tcW w:w="3085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  <w:insideH w:val="double" w:sz="4" w:space="0" w:color="000000"/>
              <w:insideV w:val="doub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 w:cs="Times New Roman"/>
                <w:b/>
                <w:b/>
                <w:bCs/>
              </w:rPr>
            </w:pPr>
            <w:r>
              <w:rPr>
                <w:rFonts w:cs="Times New Roman" w:ascii="Times New Roman" w:hAnsi="Times New Roman"/>
                <w:b/>
                <w:bCs/>
              </w:rPr>
              <w:t>Сафронов А.И.</w:t>
            </w:r>
          </w:p>
        </w:tc>
        <w:tc>
          <w:tcPr>
            <w:tcW w:w="6484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  <w:insideH w:val="double" w:sz="4" w:space="0" w:color="000000"/>
              <w:insideV w:val="doub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1) Ремонт автомобильного транспорта, запасных частей к автомобильному транспорту.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2) Страховые услуги (ОСАГО).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3)ГСМ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4) Предрейсовый медицинский осмотр</w:t>
            </w:r>
          </w:p>
        </w:tc>
      </w:tr>
      <w:tr>
        <w:trPr/>
        <w:tc>
          <w:tcPr>
            <w:tcW w:w="3085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  <w:insideH w:val="double" w:sz="4" w:space="0" w:color="000000"/>
              <w:insideV w:val="doub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 w:cs="Times New Roman"/>
                <w:b/>
                <w:b/>
                <w:bCs/>
              </w:rPr>
            </w:pPr>
            <w:r>
              <w:rPr>
                <w:rFonts w:cs="Times New Roman" w:ascii="Times New Roman" w:hAnsi="Times New Roman"/>
                <w:b/>
                <w:bCs/>
              </w:rPr>
              <w:t>Григорян А.О.</w:t>
            </w:r>
          </w:p>
        </w:tc>
        <w:tc>
          <w:tcPr>
            <w:tcW w:w="6484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  <w:insideH w:val="double" w:sz="4" w:space="0" w:color="000000"/>
              <w:insideV w:val="doub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1) Средства связи, и услуг связанных со средствами связи.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2) Услуг связи.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3) Закупка хозяйственных и канцелярские товаров работ и услуг для обеспечения организационной и хозяйственной деятельности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4) Страховые услуги (кроме ОСАГО).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5) Дератизация, дезинсекция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</w:tbl>
    <w:p>
      <w:pPr>
        <w:pStyle w:val="Normal"/>
        <w:spacing w:before="0" w:after="200"/>
        <w:rPr/>
      </w:pPr>
      <w:r>
        <w:rPr/>
      </w:r>
    </w:p>
    <w:sectPr>
      <w:type w:val="nextPage"/>
      <w:pgSz w:w="11906" w:h="16838"/>
      <w:pgMar w:left="1701" w:right="851" w:header="0" w:top="454" w:footer="0" w:bottom="425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Times New Roman CYR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sz w:val="24"/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900512"/>
    <w:pPr>
      <w:widowControl/>
      <w:bidi w:val="0"/>
      <w:spacing w:lineRule="auto" w:line="276" w:before="0" w:after="200"/>
      <w:jc w:val="left"/>
    </w:pPr>
    <w:rPr>
      <w:rFonts w:ascii="Calibri" w:hAnsi="Calibri" w:eastAsia="Times New Roman" w:cs="Calibri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locked/>
    <w:rsid w:val="001d0c66"/>
    <w:pPr>
      <w:keepNext w:val="true"/>
      <w:spacing w:lineRule="auto" w:line="240" w:before="0" w:after="0"/>
      <w:outlineLvl w:val="0"/>
    </w:pPr>
    <w:rPr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ing1Char" w:customStyle="1">
    <w:name w:val="Heading 1 Char"/>
    <w:uiPriority w:val="99"/>
    <w:qFormat/>
    <w:locked/>
    <w:rPr>
      <w:rFonts w:ascii="Cambria" w:hAnsi="Cambria" w:cs="Cambria"/>
      <w:b/>
      <w:bCs/>
      <w:kern w:val="2"/>
      <w:sz w:val="32"/>
      <w:szCs w:val="32"/>
    </w:rPr>
  </w:style>
  <w:style w:type="character" w:styleId="Style13">
    <w:name w:val="Интернет-ссылка"/>
    <w:uiPriority w:val="99"/>
    <w:semiHidden/>
    <w:rsid w:val="00d5108e"/>
    <w:rPr>
      <w:color w:val="0000FF"/>
      <w:u w:val="single"/>
    </w:rPr>
  </w:style>
  <w:style w:type="character" w:styleId="Style14">
    <w:name w:val="Выделение"/>
    <w:uiPriority w:val="99"/>
    <w:qFormat/>
    <w:rsid w:val="00d5108e"/>
    <w:rPr>
      <w:i/>
      <w:iCs/>
    </w:rPr>
  </w:style>
  <w:style w:type="character" w:styleId="11" w:customStyle="1">
    <w:name w:val="Заголовок 1 Знак"/>
    <w:link w:val="1"/>
    <w:uiPriority w:val="99"/>
    <w:qFormat/>
    <w:locked/>
    <w:rsid w:val="001d0c66"/>
    <w:rPr>
      <w:b/>
      <w:bCs/>
      <w:sz w:val="24"/>
      <w:szCs w:val="24"/>
      <w:lang w:val="ru-RU" w:eastAsia="ru-RU"/>
    </w:rPr>
  </w:style>
  <w:style w:type="character" w:styleId="ListLabel1">
    <w:name w:val="ListLabel 1"/>
    <w:qFormat/>
    <w:rPr>
      <w:rFonts w:ascii="Times New Roman" w:hAnsi="Times New Roman" w:cs="Times New Roman"/>
      <w:sz w:val="24"/>
    </w:rPr>
  </w:style>
  <w:style w:type="character" w:styleId="ListLabel2">
    <w:name w:val="ListLabel 2"/>
    <w:qFormat/>
    <w:rPr>
      <w:rFonts w:ascii="Times New Roman CYR" w:hAnsi="Times New Roman CYR" w:cs="Times New Roman CYR"/>
      <w:color w:val="000000"/>
      <w:spacing w:val="5"/>
      <w:sz w:val="24"/>
      <w:szCs w:val="24"/>
      <w:u w:val="none"/>
    </w:rPr>
  </w:style>
  <w:style w:type="character" w:styleId="ListLabel3">
    <w:name w:val="ListLabel 3"/>
    <w:qFormat/>
    <w:rPr>
      <w:rFonts w:ascii="Times New Roman" w:hAnsi="Times New Roman" w:cs="Times New Roman"/>
      <w:sz w:val="24"/>
    </w:rPr>
  </w:style>
  <w:style w:type="character" w:styleId="ListLabel4">
    <w:name w:val="ListLabel 4"/>
    <w:qFormat/>
    <w:rPr>
      <w:rFonts w:ascii="Times New Roman CYR" w:hAnsi="Times New Roman CYR" w:cs="Times New Roman CYR"/>
      <w:color w:val="000000"/>
      <w:spacing w:val="5"/>
      <w:sz w:val="24"/>
      <w:szCs w:val="24"/>
      <w:u w:val="none"/>
    </w:rPr>
  </w:style>
  <w:style w:type="character" w:styleId="ListLabel5">
    <w:name w:val="ListLabel 5"/>
    <w:qFormat/>
    <w:rPr>
      <w:rFonts w:ascii="Times New Roman" w:hAnsi="Times New Roman" w:cs="Times New Roman"/>
      <w:sz w:val="24"/>
    </w:rPr>
  </w:style>
  <w:style w:type="character" w:styleId="ListLabel6">
    <w:name w:val="ListLabel 6"/>
    <w:qFormat/>
    <w:rPr>
      <w:rFonts w:ascii="Times New Roman CYR" w:hAnsi="Times New Roman CYR" w:cs="Times New Roman CYR"/>
      <w:color w:val="000000"/>
      <w:spacing w:val="5"/>
      <w:sz w:val="24"/>
      <w:szCs w:val="24"/>
      <w:u w:val="none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semiHidden/>
    <w:qFormat/>
    <w:rsid w:val="00d5108e"/>
    <w:pPr>
      <w:spacing w:lineRule="auto" w:line="240" w:beforeAutospacing="1" w:afterAutospacing="1"/>
    </w:pPr>
    <w:rPr>
      <w:sz w:val="24"/>
      <w:szCs w:val="24"/>
    </w:rPr>
  </w:style>
  <w:style w:type="paragraph" w:styleId="ListParagraph">
    <w:name w:val="List Paragraph"/>
    <w:basedOn w:val="Normal"/>
    <w:uiPriority w:val="99"/>
    <w:qFormat/>
    <w:rsid w:val="008d541c"/>
    <w:pPr>
      <w:ind w:left="720" w:hanging="0"/>
    </w:pPr>
    <w:rPr/>
  </w:style>
  <w:style w:type="paragraph" w:styleId="ConsPlusTitle" w:customStyle="1">
    <w:name w:val="ConsPlusTitle"/>
    <w:uiPriority w:val="99"/>
    <w:qFormat/>
    <w:rsid w:val="001d0c66"/>
    <w:pPr>
      <w:widowControl w:val="false"/>
      <w:bidi w:val="0"/>
      <w:jc w:val="left"/>
    </w:pPr>
    <w:rPr>
      <w:rFonts w:ascii="Arial" w:hAnsi="Arial" w:eastAsia="Times New Roman" w:cs="Arial"/>
      <w:b/>
      <w:bCs/>
      <w:color w:val="auto"/>
      <w:kern w:val="0"/>
      <w:sz w:val="22"/>
      <w:szCs w:val="20"/>
      <w:lang w:val="ru-RU" w:eastAsia="ru-RU" w:bidi="ar-SA"/>
    </w:rPr>
  </w:style>
  <w:style w:type="paragraph" w:styleId="Style20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consultantplus://offline/ref=548536AF0A1D9F97AD593E199198A627DA2F1ED0967F7330DA67289795VCW2Q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Application>LibreOffice/6.1.0.3$Windows_x86 LibreOffice_project/efb621ed25068d70781dc026f7e9c5187a4decd1</Application>
  <Pages>5</Pages>
  <Words>963</Words>
  <Characters>8858</Characters>
  <CharactersWithSpaces>10439</CharactersWithSpaces>
  <Paragraphs>108</Paragraphs>
  <Company>sancheleevo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2016-02-17T04:35:00Z</dcterms:created>
  <dc:creator>User</dc:creator>
  <dc:description/>
  <dc:language>ru-RU</dc:language>
  <cp:lastModifiedBy/>
  <cp:lastPrinted>2021-02-25T09:30:51Z</cp:lastPrinted>
  <dcterms:modified xsi:type="dcterms:W3CDTF">2021-02-25T09:30:56Z</dcterms:modified>
  <cp:revision>17</cp:revision>
  <dc:subject/>
  <dc:title>Постановление администрации м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sancheleevo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