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rFonts w:eastAsia="Times New Roman"/>
          <w:b/>
          <w:b/>
          <w:sz w:val="28"/>
          <w:szCs w:val="28"/>
        </w:rPr>
      </w:pPr>
      <w:r>
        <w:rPr/>
        <w:drawing>
          <wp:inline distT="0" distB="0" distL="0" distR="0">
            <wp:extent cx="561975" cy="67627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Web"/>
        <w:spacing w:before="0" w:after="0"/>
        <w:jc w:val="center"/>
        <w:rPr/>
      </w:pPr>
      <w:r>
        <w:rPr>
          <w:b/>
          <w:bCs/>
          <w:color w:val="000000"/>
          <w:sz w:val="27"/>
          <w:szCs w:val="27"/>
        </w:rPr>
        <w:t xml:space="preserve">СОБРАНИЕ ПРЕДСТАВИТЕЛЕЙ      </w:t>
      </w:r>
      <w:r>
        <w:rPr>
          <w:b/>
          <w:bCs/>
          <w:color w:val="000000"/>
          <w:sz w:val="27"/>
          <w:szCs w:val="27"/>
        </w:rPr>
        <w:t xml:space="preserve">                                                                                      </w:t>
      </w:r>
      <w:r>
        <w:rPr>
          <w:b/>
          <w:bCs/>
          <w:color w:val="000000"/>
          <w:sz w:val="27"/>
          <w:szCs w:val="27"/>
        </w:rPr>
        <w:t>СЕЛЬСКОГО ПОСЕЛЕНИЯ ПРИМОРСКИЙ</w:t>
      </w:r>
    </w:p>
    <w:p>
      <w:pPr>
        <w:pStyle w:val="NormalWeb"/>
        <w:spacing w:before="0" w:after="0"/>
        <w:jc w:val="center"/>
        <w:rPr>
          <w:b/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>
      <w:pPr>
        <w:pStyle w:val="NormalWeb"/>
        <w:spacing w:before="0" w:after="0"/>
        <w:jc w:val="center"/>
        <w:rPr>
          <w:b/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>
      <w:pPr>
        <w:pStyle w:val="NormalWeb"/>
        <w:spacing w:before="0" w:after="0"/>
        <w:jc w:val="center"/>
        <w:rPr/>
      </w:pPr>
      <w:r>
        <w:rPr/>
      </w:r>
    </w:p>
    <w:p>
      <w:pPr>
        <w:pStyle w:val="NormalWeb"/>
        <w:spacing w:before="0" w:after="0"/>
        <w:jc w:val="center"/>
        <w:rPr/>
      </w:pPr>
      <w:r>
        <w:rPr>
          <w:b/>
          <w:bCs/>
          <w:color w:val="000000"/>
          <w:sz w:val="27"/>
          <w:szCs w:val="27"/>
        </w:rPr>
        <w:t>РЕШЕНИЕ</w:t>
      </w:r>
    </w:p>
    <w:p>
      <w:pPr>
        <w:pStyle w:val="NormalWeb"/>
        <w:spacing w:before="0" w:after="0"/>
        <w:jc w:val="center"/>
        <w:rPr/>
      </w:pPr>
      <w:r>
        <w:rPr>
          <w:rFonts w:cs="Tahoma"/>
          <w:b w:val="false"/>
          <w:bCs w:val="false"/>
          <w:color w:val="000000"/>
          <w:sz w:val="27"/>
          <w:szCs w:val="27"/>
        </w:rPr>
        <w:t>24 сентября</w:t>
      </w:r>
      <w:r>
        <w:rPr>
          <w:rFonts w:cs="Tahoma"/>
          <w:color w:val="000000"/>
          <w:sz w:val="27"/>
          <w:szCs w:val="27"/>
        </w:rPr>
        <w:t xml:space="preserve"> 2020г. </w:t>
        <w:tab/>
        <w:tab/>
        <w:tab/>
        <w:tab/>
        <w:tab/>
        <w:tab/>
        <w:tab/>
        <w:tab/>
        <w:tab/>
        <w:t xml:space="preserve">№ </w:t>
      </w:r>
      <w:r>
        <w:rPr>
          <w:rFonts w:cs="Tahoma"/>
          <w:color w:val="000000"/>
          <w:sz w:val="27"/>
          <w:szCs w:val="27"/>
        </w:rPr>
        <w:t>4</w:t>
      </w:r>
    </w:p>
    <w:p>
      <w:pPr>
        <w:pStyle w:val="Normal"/>
        <w:spacing w:before="120" w:after="0"/>
        <w:ind w:firstLine="720"/>
        <w:jc w:val="center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spacing w:before="120" w:after="0"/>
        <w:ind w:firstLine="720"/>
        <w:jc w:val="center"/>
        <w:rPr/>
      </w:pPr>
      <w:r>
        <w:rPr>
          <w:rFonts w:cs="Tahoma" w:ascii="Times New Roman" w:hAnsi="Times New Roman"/>
          <w:b/>
        </w:rPr>
        <w:t>О составе постоянных комиссий Собрания представителей сельского поселения Приморский муниципального района Ставропольский Самарской области.</w:t>
      </w:r>
    </w:p>
    <w:p>
      <w:pPr>
        <w:pStyle w:val="Normal"/>
        <w:spacing w:before="120" w:after="0"/>
        <w:ind w:firstLine="720"/>
        <w:jc w:val="center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spacing w:before="120" w:after="0"/>
        <w:ind w:firstLine="720"/>
        <w:jc w:val="both"/>
        <w:rPr/>
      </w:pPr>
      <w:r>
        <w:rPr>
          <w:rFonts w:cs="Tahoma" w:ascii="Times New Roman" w:hAnsi="Times New Roman"/>
        </w:rPr>
        <w:t xml:space="preserve">В соответствии с Федеральным законом от 06.10.2003г. №131-ФЗ «Об общих принципах организации местного самоуправления в Российской Федерации», руководствуясь Регламентом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cs="Tahoma" w:ascii="Times New Roman" w:hAnsi="Times New Roman"/>
        </w:rPr>
        <w:t xml:space="preserve">, Уставом сельского поселения Приморский муниципального района Ставропольский, Собрание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</w:p>
    <w:p>
      <w:pPr>
        <w:pStyle w:val="Normal"/>
        <w:jc w:val="center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jc w:val="center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  <w:t>РЕШИЛО:</w:t>
      </w:r>
    </w:p>
    <w:p>
      <w:pPr>
        <w:pStyle w:val="Normal"/>
        <w:jc w:val="center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ind w:firstLine="720"/>
        <w:jc w:val="both"/>
        <w:rPr>
          <w:rFonts w:ascii="Times New Roman" w:hAnsi="Times New Roman" w:cs="Tahoma"/>
        </w:rPr>
      </w:pPr>
      <w:r>
        <w:rPr>
          <w:rFonts w:cs="Tahoma" w:ascii="Times New Roman" w:hAnsi="Times New Roman"/>
        </w:rPr>
        <w:t xml:space="preserve">1.Образовать постоянные комиссии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cs="Tahoma" w:ascii="Times New Roman" w:hAnsi="Times New Roman"/>
        </w:rPr>
        <w:t xml:space="preserve"> муниципального района Ставропольский Самарской области в следующем составе:</w:t>
      </w:r>
    </w:p>
    <w:p>
      <w:pPr>
        <w:pStyle w:val="Normal"/>
        <w:ind w:firstLine="720"/>
        <w:jc w:val="both"/>
        <w:rPr>
          <w:rFonts w:ascii="Times New Roman" w:hAnsi="Times New Roman" w:cs="Tahoma"/>
        </w:rPr>
      </w:pPr>
      <w:r>
        <w:rPr>
          <w:rFonts w:cs="Tahoma" w:ascii="Times New Roman" w:hAnsi="Times New Roman"/>
        </w:rPr>
      </w:r>
    </w:p>
    <w:p>
      <w:pPr>
        <w:pStyle w:val="Normal"/>
        <w:jc w:val="both"/>
        <w:rPr/>
      </w:pPr>
      <w:r>
        <w:rPr>
          <w:rFonts w:cs="Tahoma" w:ascii="Times New Roman" w:hAnsi="Times New Roman"/>
          <w:b/>
        </w:rPr>
        <w:t xml:space="preserve">- Комиссия по </w:t>
      </w:r>
      <w:r>
        <w:rPr>
          <w:rFonts w:cs="Tahoma" w:ascii="Times New Roman" w:hAnsi="Times New Roman"/>
          <w:b/>
        </w:rPr>
        <w:t>бюджету</w:t>
      </w:r>
      <w:r>
        <w:rPr>
          <w:rFonts w:cs="Tahoma" w:ascii="Times New Roman" w:hAnsi="Times New Roman"/>
          <w:b/>
        </w:rPr>
        <w:t>:</w:t>
      </w:r>
    </w:p>
    <w:p>
      <w:pPr>
        <w:pStyle w:val="Normal"/>
        <w:jc w:val="both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tbl>
      <w:tblPr>
        <w:tblW w:w="8475" w:type="dxa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475"/>
      </w:tblGrid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1"/>
              </w:numPr>
              <w:spacing w:before="280" w:after="119"/>
              <w:rPr/>
            </w:pPr>
            <w:r>
              <w:rPr>
                <w:sz w:val="22"/>
                <w:szCs w:val="22"/>
                <w:lang w:eastAsia="en-US"/>
              </w:rPr>
              <w:t>Саведеркин С.П</w:t>
            </w:r>
            <w:r>
              <w:rPr>
                <w:sz w:val="22"/>
                <w:szCs w:val="22"/>
                <w:lang w:eastAsia="en-US"/>
              </w:rPr>
              <w:t>..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1"/>
              </w:numPr>
              <w:spacing w:before="280" w:after="119"/>
              <w:rPr/>
            </w:pPr>
            <w:r>
              <w:rPr>
                <w:sz w:val="22"/>
                <w:szCs w:val="22"/>
                <w:lang w:eastAsia="en-US"/>
              </w:rPr>
              <w:t>Абрамова Т.С.</w:t>
            </w:r>
            <w:r>
              <w:rPr>
                <w:sz w:val="22"/>
                <w:szCs w:val="22"/>
                <w:lang w:eastAsia="en-US"/>
              </w:rPr>
              <w:t>.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1"/>
              </w:numPr>
              <w:spacing w:before="280" w:after="119"/>
              <w:rPr/>
            </w:pPr>
            <w:r>
              <w:rPr>
                <w:sz w:val="22"/>
                <w:szCs w:val="22"/>
                <w:lang w:eastAsia="en-US"/>
              </w:rPr>
              <w:t>Гринцевич Э.В.</w:t>
            </w:r>
            <w:r>
              <w:rPr>
                <w:sz w:val="22"/>
                <w:szCs w:val="22"/>
                <w:lang w:eastAsia="en-US"/>
              </w:rPr>
              <w:t>.</w:t>
            </w:r>
          </w:p>
          <w:p>
            <w:pPr>
              <w:pStyle w:val="NormalWeb"/>
              <w:numPr>
                <w:ilvl w:val="0"/>
                <w:numId w:val="1"/>
              </w:numPr>
              <w:spacing w:before="280" w:after="119"/>
              <w:rPr/>
            </w:pPr>
            <w:r>
              <w:rPr>
                <w:sz w:val="22"/>
                <w:szCs w:val="22"/>
                <w:lang w:eastAsia="en-US"/>
              </w:rPr>
              <w:t>Бураков И.А..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1"/>
              </w:numPr>
              <w:spacing w:before="280" w:after="119"/>
              <w:rPr/>
            </w:pPr>
            <w:r>
              <w:rPr>
                <w:sz w:val="22"/>
                <w:szCs w:val="22"/>
                <w:lang w:eastAsia="en-US"/>
              </w:rPr>
              <w:t>Лапшина А.А.</w:t>
            </w:r>
            <w:r>
              <w:rPr>
                <w:sz w:val="22"/>
                <w:szCs w:val="22"/>
                <w:lang w:eastAsia="en-US"/>
              </w:rPr>
              <w:t>.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1"/>
              </w:numPr>
              <w:spacing w:before="280" w:after="119"/>
              <w:rPr/>
            </w:pPr>
            <w:r>
              <w:rPr>
                <w:sz w:val="22"/>
                <w:szCs w:val="22"/>
                <w:lang w:eastAsia="en-US"/>
              </w:rPr>
              <w:t>Больд А.А.</w:t>
            </w:r>
            <w:r>
              <w:rPr>
                <w:sz w:val="22"/>
                <w:szCs w:val="22"/>
                <w:lang w:eastAsia="en-US"/>
              </w:rPr>
              <w:t>.</w:t>
            </w:r>
          </w:p>
        </w:tc>
      </w:tr>
    </w:tbl>
    <w:p>
      <w:pPr>
        <w:pStyle w:val="Normal"/>
        <w:jc w:val="both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jc w:val="both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jc w:val="both"/>
        <w:rPr/>
      </w:pPr>
      <w:r>
        <w:rPr>
          <w:rFonts w:cs="Tahoma" w:ascii="Times New Roman" w:hAnsi="Times New Roman"/>
          <w:b/>
        </w:rPr>
        <w:t xml:space="preserve">- Комиссия по </w:t>
      </w:r>
      <w:r>
        <w:rPr>
          <w:rFonts w:cs="Tahoma" w:ascii="Times New Roman" w:hAnsi="Times New Roman"/>
          <w:b/>
        </w:rPr>
        <w:t>законности</w:t>
      </w:r>
      <w:r>
        <w:rPr>
          <w:rFonts w:cs="Tahoma" w:ascii="Times New Roman" w:hAnsi="Times New Roman"/>
          <w:b/>
        </w:rPr>
        <w:t>:</w:t>
      </w:r>
    </w:p>
    <w:p>
      <w:pPr>
        <w:pStyle w:val="Normal"/>
        <w:jc w:val="both"/>
        <w:rPr>
          <w:rFonts w:ascii="Times New Roman" w:hAnsi="Times New Roman" w:cs="Tahoma"/>
          <w:b/>
          <w:b/>
          <w:sz w:val="12"/>
          <w:szCs w:val="12"/>
        </w:rPr>
      </w:pPr>
      <w:r>
        <w:rPr>
          <w:rFonts w:cs="Tahoma" w:ascii="Times New Roman" w:hAnsi="Times New Roman"/>
          <w:b/>
          <w:sz w:val="12"/>
          <w:szCs w:val="12"/>
        </w:rPr>
      </w:r>
    </w:p>
    <w:tbl>
      <w:tblPr>
        <w:tblW w:w="8475" w:type="dxa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475"/>
      </w:tblGrid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2"/>
              </w:numPr>
              <w:spacing w:before="280" w:after="119"/>
              <w:rPr/>
            </w:pPr>
            <w:r>
              <w:rPr>
                <w:sz w:val="22"/>
                <w:szCs w:val="22"/>
                <w:lang w:eastAsia="en-US"/>
              </w:rPr>
              <w:t>Гринцевич Э.В.</w:t>
            </w:r>
            <w:r>
              <w:rPr>
                <w:sz w:val="22"/>
                <w:szCs w:val="22"/>
                <w:lang w:eastAsia="en-US"/>
              </w:rPr>
              <w:t>.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2"/>
              </w:numPr>
              <w:spacing w:before="280" w:after="119"/>
              <w:rPr/>
            </w:pPr>
            <w:r>
              <w:rPr>
                <w:sz w:val="22"/>
                <w:szCs w:val="22"/>
                <w:lang w:eastAsia="en-US"/>
              </w:rPr>
              <w:t>Больд А.А.</w:t>
            </w:r>
            <w:r>
              <w:rPr>
                <w:sz w:val="22"/>
                <w:szCs w:val="22"/>
                <w:lang w:eastAsia="en-US"/>
              </w:rPr>
              <w:t>.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2"/>
              </w:numPr>
              <w:spacing w:before="280" w:after="119"/>
              <w:rPr/>
            </w:pPr>
            <w:r>
              <w:rPr>
                <w:sz w:val="22"/>
                <w:szCs w:val="22"/>
                <w:lang w:eastAsia="en-US"/>
              </w:rPr>
              <w:t>Деревяшкина Н.В.</w:t>
            </w:r>
            <w:r>
              <w:rPr>
                <w:sz w:val="22"/>
                <w:szCs w:val="22"/>
                <w:lang w:eastAsia="en-US"/>
              </w:rPr>
              <w:t>.</w:t>
            </w:r>
          </w:p>
        </w:tc>
      </w:tr>
    </w:tbl>
    <w:p>
      <w:pPr>
        <w:pStyle w:val="Normal"/>
        <w:jc w:val="both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jc w:val="both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jc w:val="both"/>
        <w:rPr/>
      </w:pPr>
      <w:r>
        <w:rPr>
          <w:rFonts w:cs="Tahoma" w:ascii="Times New Roman" w:hAnsi="Times New Roman"/>
          <w:b/>
        </w:rPr>
        <w:t xml:space="preserve">-  Комиссия по </w:t>
      </w:r>
      <w:r>
        <w:rPr>
          <w:rFonts w:cs="Tahoma" w:ascii="Times New Roman" w:hAnsi="Times New Roman"/>
          <w:b/>
        </w:rPr>
        <w:t>социальной и молодежной политике</w:t>
      </w:r>
      <w:r>
        <w:rPr>
          <w:rFonts w:cs="Tahoma" w:ascii="Times New Roman" w:hAnsi="Times New Roman"/>
          <w:b/>
        </w:rPr>
        <w:t>:</w:t>
      </w:r>
    </w:p>
    <w:tbl>
      <w:tblPr>
        <w:tblW w:w="8475" w:type="dxa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475"/>
      </w:tblGrid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3"/>
              </w:numPr>
              <w:spacing w:before="280" w:after="119"/>
              <w:rPr/>
            </w:pPr>
            <w:r>
              <w:rPr>
                <w:sz w:val="22"/>
                <w:szCs w:val="22"/>
                <w:lang w:eastAsia="en-US"/>
              </w:rPr>
              <w:t>Деревяшкина Н.В.</w:t>
            </w:r>
            <w:r>
              <w:rPr>
                <w:sz w:val="22"/>
                <w:szCs w:val="22"/>
                <w:lang w:eastAsia="en-US"/>
              </w:rPr>
              <w:t>.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3"/>
              </w:numPr>
              <w:spacing w:before="280" w:after="119"/>
              <w:rPr/>
            </w:pPr>
            <w:r>
              <w:rPr>
                <w:sz w:val="22"/>
                <w:szCs w:val="22"/>
                <w:lang w:eastAsia="en-US"/>
              </w:rPr>
              <w:t>Ахметвалиева Н.М.</w:t>
            </w:r>
            <w:r>
              <w:rPr>
                <w:sz w:val="22"/>
                <w:szCs w:val="22"/>
                <w:lang w:eastAsia="en-US"/>
              </w:rPr>
              <w:t>.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3"/>
              </w:numPr>
              <w:spacing w:before="280" w:after="119"/>
              <w:rPr/>
            </w:pPr>
            <w:r>
              <w:rPr>
                <w:sz w:val="22"/>
                <w:szCs w:val="22"/>
                <w:lang w:eastAsia="en-US"/>
              </w:rPr>
              <w:t>Калинина Т.З.</w:t>
            </w:r>
            <w:r>
              <w:rPr>
                <w:sz w:val="22"/>
                <w:szCs w:val="22"/>
                <w:lang w:eastAsia="en-US"/>
              </w:rPr>
              <w:t>.</w:t>
            </w:r>
          </w:p>
        </w:tc>
      </w:tr>
    </w:tbl>
    <w:p>
      <w:pPr>
        <w:pStyle w:val="Normal"/>
        <w:jc w:val="both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jc w:val="both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jc w:val="both"/>
        <w:rPr/>
      </w:pPr>
      <w:r>
        <w:rPr>
          <w:rFonts w:cs="Tahoma" w:ascii="Times New Roman" w:hAnsi="Times New Roman"/>
          <w:b/>
        </w:rPr>
        <w:t xml:space="preserve">- Комиссия по </w:t>
      </w:r>
      <w:r>
        <w:rPr>
          <w:rFonts w:cs="Tahoma" w:ascii="Times New Roman" w:hAnsi="Times New Roman"/>
          <w:b/>
        </w:rPr>
        <w:t>земельным отношениям</w:t>
      </w:r>
      <w:r>
        <w:rPr>
          <w:rFonts w:cs="Tahoma" w:ascii="Times New Roman" w:hAnsi="Times New Roman"/>
          <w:b/>
        </w:rPr>
        <w:t>:</w:t>
      </w:r>
    </w:p>
    <w:tbl>
      <w:tblPr>
        <w:tblW w:w="8475" w:type="dxa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475"/>
      </w:tblGrid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4"/>
              </w:numPr>
              <w:spacing w:before="280" w:after="119"/>
              <w:rPr/>
            </w:pPr>
            <w:r>
              <w:rPr>
                <w:sz w:val="22"/>
                <w:szCs w:val="22"/>
                <w:lang w:eastAsia="en-US"/>
              </w:rPr>
              <w:t>Ахметвалиева Н.М.</w:t>
            </w:r>
            <w:r>
              <w:rPr>
                <w:sz w:val="22"/>
                <w:szCs w:val="22"/>
                <w:lang w:eastAsia="en-US"/>
              </w:rPr>
              <w:t>.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4"/>
              </w:numPr>
              <w:spacing w:before="280" w:after="119"/>
              <w:rPr/>
            </w:pPr>
            <w:r>
              <w:rPr>
                <w:sz w:val="22"/>
                <w:szCs w:val="22"/>
                <w:lang w:eastAsia="en-US"/>
              </w:rPr>
              <w:t>Абрамова Т.С.</w:t>
            </w:r>
            <w:r>
              <w:rPr>
                <w:sz w:val="22"/>
                <w:szCs w:val="22"/>
                <w:lang w:eastAsia="en-US"/>
              </w:rPr>
              <w:t>.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4"/>
              </w:numPr>
              <w:spacing w:before="280" w:after="119"/>
              <w:rPr/>
            </w:pPr>
            <w:r>
              <w:rPr>
                <w:sz w:val="22"/>
                <w:szCs w:val="22"/>
                <w:lang w:eastAsia="en-US"/>
              </w:rPr>
              <w:t>Лапшина А.А.</w:t>
            </w:r>
            <w:r>
              <w:rPr>
                <w:sz w:val="22"/>
                <w:szCs w:val="22"/>
                <w:lang w:eastAsia="en-US"/>
              </w:rPr>
              <w:t>.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4"/>
              </w:numPr>
              <w:spacing w:before="280" w:after="119"/>
              <w:rPr/>
            </w:pPr>
            <w:r>
              <w:rPr>
                <w:sz w:val="22"/>
                <w:szCs w:val="22"/>
                <w:lang w:eastAsia="en-US"/>
              </w:rPr>
              <w:t>Бураков И.А.</w:t>
            </w:r>
            <w:r>
              <w:rPr>
                <w:sz w:val="22"/>
                <w:szCs w:val="22"/>
                <w:lang w:eastAsia="en-US"/>
              </w:rPr>
              <w:t>.</w:t>
            </w:r>
          </w:p>
        </w:tc>
      </w:tr>
      <w:tr>
        <w:trPr>
          <w:trHeight w:val="506" w:hRule="atLeast"/>
        </w:trPr>
        <w:tc>
          <w:tcPr>
            <w:tcW w:w="8475" w:type="dxa"/>
            <w:tcBorders/>
            <w:shd w:fill="auto" w:val="clear"/>
          </w:tcPr>
          <w:p>
            <w:pPr>
              <w:pStyle w:val="NormalWeb"/>
              <w:numPr>
                <w:ilvl w:val="0"/>
                <w:numId w:val="4"/>
              </w:numPr>
              <w:spacing w:before="280" w:after="119"/>
              <w:rPr/>
            </w:pPr>
            <w:r>
              <w:rPr>
                <w:sz w:val="22"/>
                <w:szCs w:val="22"/>
                <w:lang w:eastAsia="en-US"/>
              </w:rPr>
              <w:t>Третьяк З.М..</w:t>
            </w:r>
          </w:p>
          <w:p>
            <w:pPr>
              <w:pStyle w:val="NormalWeb"/>
              <w:numPr>
                <w:ilvl w:val="0"/>
                <w:numId w:val="4"/>
              </w:numPr>
              <w:spacing w:before="280" w:after="119"/>
              <w:rPr/>
            </w:pPr>
            <w:r>
              <w:rPr>
                <w:sz w:val="22"/>
                <w:szCs w:val="22"/>
                <w:lang w:eastAsia="en-US"/>
              </w:rPr>
              <w:t>Калинина Т.З.</w:t>
            </w:r>
          </w:p>
        </w:tc>
      </w:tr>
    </w:tbl>
    <w:p>
      <w:pPr>
        <w:pStyle w:val="Normal"/>
        <w:jc w:val="both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ind w:firstLine="720"/>
        <w:jc w:val="both"/>
        <w:rPr/>
      </w:pPr>
      <w:bookmarkStart w:id="0" w:name="_GoBack"/>
      <w:bookmarkEnd w:id="0"/>
      <w:r>
        <w:rPr>
          <w:rFonts w:cs="Tahoma" w:ascii="Times New Roman" w:hAnsi="Times New Roman"/>
        </w:rPr>
        <w:t xml:space="preserve">2. Признать утратившими силу следующие Решения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 xml:space="preserve">Приморский </w:t>
      </w:r>
      <w:r>
        <w:rPr>
          <w:rFonts w:cs="Tahoma" w:ascii="Times New Roman" w:hAnsi="Times New Roman"/>
        </w:rPr>
        <w:t>муниципального района Ставропольский:</w:t>
      </w:r>
    </w:p>
    <w:p>
      <w:pPr>
        <w:pStyle w:val="Normal"/>
        <w:ind w:firstLine="720"/>
        <w:jc w:val="both"/>
        <w:rPr/>
      </w:pPr>
      <w:r>
        <w:rPr>
          <w:rFonts w:cs="Tahoma" w:ascii="Times New Roman" w:hAnsi="Times New Roman"/>
        </w:rPr>
        <w:t>- Решение №12 от 08.10.2015г.</w:t>
      </w:r>
      <w:r>
        <w:rPr>
          <w:rFonts w:cs="Tahoma" w:ascii="Times New Roman" w:hAnsi="Times New Roman"/>
          <w:b/>
        </w:rPr>
        <w:t xml:space="preserve"> «</w:t>
      </w:r>
      <w:r>
        <w:rPr>
          <w:rFonts w:cs="Tahoma" w:ascii="Times New Roman" w:hAnsi="Times New Roman"/>
        </w:rPr>
        <w:t xml:space="preserve">О составе постоянных комиссий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cs="Tahoma" w:ascii="Times New Roman" w:hAnsi="Times New Roman"/>
        </w:rPr>
        <w:t xml:space="preserve"> муниципального района Ставропольский Самарской области»; </w:t>
      </w:r>
    </w:p>
    <w:p>
      <w:pPr>
        <w:pStyle w:val="Normal"/>
        <w:ind w:firstLine="720"/>
        <w:jc w:val="both"/>
        <w:rPr/>
      </w:pPr>
      <w:r>
        <w:rPr>
          <w:rFonts w:cs="Tahoma" w:ascii="Times New Roman" w:hAnsi="Times New Roman"/>
        </w:rPr>
        <w:t xml:space="preserve">- Решение №112 от 05.12.2017г. «О внесении изменений в Решение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 xml:space="preserve">Приморский </w:t>
      </w:r>
      <w:r>
        <w:rPr>
          <w:rFonts w:cs="Tahoma" w:ascii="Times New Roman" w:hAnsi="Times New Roman"/>
        </w:rPr>
        <w:t xml:space="preserve">муниципального района Ставропольский №12  </w:t>
      </w:r>
      <w:r>
        <w:rPr>
          <w:rFonts w:cs="Tahoma" w:ascii="Times New Roman" w:hAnsi="Times New Roman"/>
          <w:b/>
        </w:rPr>
        <w:t>«</w:t>
      </w:r>
      <w:r>
        <w:rPr>
          <w:rFonts w:cs="Tahoma" w:ascii="Times New Roman" w:hAnsi="Times New Roman"/>
        </w:rPr>
        <w:t xml:space="preserve">О составе постоянных комиссий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cs="Tahoma" w:ascii="Times New Roman" w:hAnsi="Times New Roman"/>
        </w:rPr>
        <w:t xml:space="preserve"> муниципального района Ставропольский Самарской области».</w:t>
      </w:r>
    </w:p>
    <w:p>
      <w:pPr>
        <w:pStyle w:val="Normal"/>
        <w:ind w:firstLine="720"/>
        <w:jc w:val="both"/>
        <w:rPr/>
      </w:pPr>
      <w:r>
        <w:rPr>
          <w:rFonts w:cs="Tahoma" w:ascii="Times New Roman" w:hAnsi="Times New Roman"/>
        </w:rPr>
        <w:t>3. Настоящее решение вступает в силу с момента его подписания.</w:t>
      </w:r>
    </w:p>
    <w:p>
      <w:pPr>
        <w:pStyle w:val="Normal"/>
        <w:ind w:firstLine="720"/>
        <w:jc w:val="both"/>
        <w:rPr>
          <w:rFonts w:ascii="Times New Roman" w:hAnsi="Times New Roman" w:cs="Tahoma"/>
        </w:rPr>
      </w:pPr>
      <w:r>
        <w:rPr>
          <w:rFonts w:cs="Tahoma" w:ascii="Times New Roman" w:hAnsi="Times New Roman"/>
        </w:rPr>
      </w:r>
    </w:p>
    <w:p>
      <w:pPr>
        <w:pStyle w:val="Normal"/>
        <w:ind w:firstLine="720"/>
        <w:jc w:val="both"/>
        <w:rPr>
          <w:rFonts w:ascii="Times New Roman" w:hAnsi="Times New Roman" w:cs="Tahoma"/>
        </w:rPr>
      </w:pPr>
      <w:r>
        <w:rPr>
          <w:rFonts w:cs="Tahoma" w:ascii="Times New Roman" w:hAnsi="Times New Roman"/>
        </w:rPr>
      </w:r>
    </w:p>
    <w:p>
      <w:pPr>
        <w:pStyle w:val="Normal"/>
        <w:numPr>
          <w:ilvl w:val="0"/>
          <w:numId w:val="0"/>
        </w:numPr>
        <w:tabs>
          <w:tab w:val="left" w:pos="200" w:leader="none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>
      <w:pPr>
        <w:pStyle w:val="Normal"/>
        <w:numPr>
          <w:ilvl w:val="0"/>
          <w:numId w:val="0"/>
        </w:numPr>
        <w:tabs>
          <w:tab w:val="left" w:pos="200" w:leader="none"/>
        </w:tabs>
        <w:outlineLvl w:val="0"/>
        <w:rPr/>
      </w:pPr>
      <w:r>
        <w:rPr>
          <w:rFonts w:ascii="Times New Roman" w:hAnsi="Times New Roman"/>
        </w:rPr>
        <w:t xml:space="preserve">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</w:p>
    <w:p>
      <w:pPr>
        <w:pStyle w:val="Normal"/>
        <w:numPr>
          <w:ilvl w:val="0"/>
          <w:numId w:val="0"/>
        </w:numPr>
        <w:tabs>
          <w:tab w:val="left" w:pos="200" w:leader="none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  <w:tab/>
      </w:r>
    </w:p>
    <w:p>
      <w:pPr>
        <w:pStyle w:val="Normal"/>
        <w:numPr>
          <w:ilvl w:val="0"/>
          <w:numId w:val="0"/>
        </w:numPr>
        <w:tabs>
          <w:tab w:val="left" w:pos="200" w:leader="none"/>
        </w:tabs>
        <w:outlineLvl w:val="0"/>
        <w:rPr/>
      </w:pPr>
      <w:r>
        <w:rPr>
          <w:rFonts w:ascii="Times New Roman" w:hAnsi="Times New Roman"/>
        </w:rPr>
        <w:t>Самарской области</w:t>
        <w:tab/>
        <w:tab/>
        <w:tab/>
        <w:tab/>
        <w:tab/>
        <w:tab/>
        <w:tab/>
        <w:tab/>
        <w:tab/>
        <w:tab/>
        <w:tab/>
      </w:r>
      <w:r>
        <w:rPr>
          <w:rFonts w:ascii="Times New Roman" w:hAnsi="Times New Roman"/>
        </w:rPr>
        <w:t>А.А. Больд</w:t>
      </w:r>
      <w:r>
        <w:rPr>
          <w:rFonts w:ascii="Times New Roman" w:hAnsi="Times New Roman"/>
        </w:rPr>
        <w:tab/>
        <w:tab/>
        <w:tab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709" w:right="850" w:header="0" w:top="567" w:footer="0" w:bottom="426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Arial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 New Roman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9121ea"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" w:hAnsi="Arial" w:eastAsia="Lucida Sans Unicode" w:cs="Times New Roman"/>
      <w:color w:val="auto"/>
      <w:kern w:val="0"/>
      <w:sz w:val="24"/>
      <w:szCs w:val="24"/>
      <w:lang w:val="ru-RU" w:eastAsia="ar-SA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semiHidden/>
    <w:unhideWhenUsed/>
    <w:qFormat/>
    <w:rsid w:val="009121ea"/>
    <w:pPr>
      <w:widowControl/>
      <w:suppressAutoHyphens w:val="false"/>
      <w:spacing w:before="280" w:after="119"/>
    </w:pPr>
    <w:rPr>
      <w:rFonts w:ascii="Times New Roman" w:hAnsi="Times New Roman" w:eastAsia="Times New Roma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200</TotalTime>
  <Application>LibreOffice/6.1.0.3$Windows_x86 LibreOffice_project/efb621ed25068d70781dc026f7e9c5187a4decd1</Application>
  <Pages>2</Pages>
  <Words>246</Words>
  <Characters>1840</Characters>
  <CharactersWithSpaces>2147</CharactersWithSpaces>
  <Paragraphs>40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2020-08-03T11:16:00Z</dcterms:created>
  <dc:creator>Sobr-3</dc:creator>
  <dc:description/>
  <dc:language>ru-RU</dc:language>
  <cp:lastModifiedBy/>
  <cp:lastPrinted>2020-09-25T12:05:57Z</cp:lastPrinted>
  <dcterms:modified xsi:type="dcterms:W3CDTF">2020-09-25T12:06:35Z</dcterms:modified>
  <cp:revision>15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